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441521-2025-02686</w:t>
      </w:r>
    </w:p>
    <w:p>
      <w:pPr>
        <w:pStyle w:val="null3"/>
        <w:jc w:val="center"/>
        <w:outlineLvl w:val="3"/>
      </w:pPr>
      <w:r>
        <w:rPr>
          <w:sz w:val="24"/>
          <w:b/>
        </w:rPr>
        <w:t>采购项目编号：</w:t>
      </w:r>
      <w:r>
        <w:rPr>
          <w:sz w:val="24"/>
          <w:b/>
        </w:rPr>
        <w:t>PCZX2025ZC066-4</w:t>
      </w:r>
    </w:p>
    <w:p>
      <w:pPr>
        <w:pStyle w:val="null3"/>
        <w:jc w:val="center"/>
        <w:outlineLvl w:val="3"/>
      </w:pPr>
      <w:r>
        <w:rPr>
          <w:sz w:val="24"/>
          <w:b/>
        </w:rPr>
        <w:t>项目名称：</w:t>
      </w:r>
      <w:r>
        <w:rPr>
          <w:sz w:val="24"/>
          <w:b/>
        </w:rPr>
        <w:t>海丰县妇幼保健院新院升级扩建工程配套设施项目-医疗设备(第四批)</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深圳市河图建设项目管理有限公司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深圳市河图建设项目管理有限公司</w:t>
      </w:r>
      <w:r>
        <w:rPr/>
        <w:t>受</w:t>
      </w:r>
      <w:r>
        <w:rPr/>
        <w:t>海丰县妇幼保健院</w:t>
      </w:r>
      <w:r>
        <w:rPr/>
        <w:t>的委托，采用</w:t>
      </w:r>
      <w:r>
        <w:rPr/>
        <w:t>公开招标</w:t>
      </w:r>
      <w:r>
        <w:rPr/>
        <w:t>方式组织采购</w:t>
      </w:r>
      <w:r>
        <w:rPr/>
        <w:t>海丰县妇幼保健院新院升级扩建工程配套设施项目-医疗设备(第四批)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海丰县妇幼保健院新院升级扩建工程配套设施项目-医疗设备(第四批)</w:t>
      </w:r>
    </w:p>
    <w:p>
      <w:pPr>
        <w:pStyle w:val="null3"/>
        <w:ind w:firstLine="480"/>
      </w:pPr>
      <w:r>
        <w:rPr/>
        <w:t>采购计划编号：</w:t>
      </w:r>
      <w:r>
        <w:rPr/>
        <w:t>441521-2025-02686</w:t>
      </w:r>
    </w:p>
    <w:p>
      <w:pPr>
        <w:pStyle w:val="null3"/>
        <w:ind w:firstLine="480"/>
      </w:pPr>
      <w:r>
        <w:rPr/>
        <w:t>采购项目编号：</w:t>
      </w:r>
      <w:r>
        <w:rPr/>
        <w:t>PCZX2025ZC066-4</w:t>
      </w:r>
    </w:p>
    <w:p>
      <w:pPr>
        <w:pStyle w:val="null3"/>
        <w:ind w:firstLine="480"/>
      </w:pPr>
      <w:r>
        <w:rPr/>
        <w:t>采购方式：</w:t>
      </w:r>
      <w:r>
        <w:rPr/>
        <w:t>公开招标</w:t>
      </w:r>
    </w:p>
    <w:p>
      <w:pPr>
        <w:pStyle w:val="null3"/>
        <w:ind w:firstLine="480"/>
      </w:pPr>
      <w:r>
        <w:rPr/>
        <w:t>预算金额：</w:t>
      </w:r>
      <w:r>
        <w:rPr/>
        <w:t>4,800,000.00</w:t>
      </w:r>
      <w:r>
        <w:rPr/>
        <w:t>元</w:t>
      </w:r>
    </w:p>
    <w:p>
      <w:pPr>
        <w:pStyle w:val="null3"/>
        <w:outlineLvl w:val="3"/>
      </w:pPr>
      <w:r>
        <w:rPr>
          <w:sz w:val="24"/>
          <w:b/>
        </w:rPr>
        <w:t>2.项目内容及需求情况（采购项目技术规格、参数及要求）</w:t>
      </w:r>
    </w:p>
    <w:p>
      <w:pPr>
        <w:pStyle w:val="null3"/>
      </w:pPr>
      <w:r>
        <w:rPr/>
        <w:t>采购包1(海丰县妇幼保健院新院升级扩建工程配套设施项目-医疗设备(第四批)):</w:t>
      </w:r>
    </w:p>
    <w:p>
      <w:pPr>
        <w:pStyle w:val="null3"/>
      </w:pPr>
      <w:r>
        <w:rPr/>
        <w:t>采购包预算金额：4,800,000.00元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计算机断层扫描（CT）</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采购包1（海丰县妇幼保健院新院升级扩建工程配套设施项目-医疗设备(第四批)）：</w:t>
      </w:r>
      <w:r>
        <w:rPr/>
        <w:t>本项目不属于专门面向中小企业采购的项目；本项目中小企业划分标准所属行业为工业。</w:t>
      </w:r>
    </w:p>
    <w:p>
      <w:pPr>
        <w:pStyle w:val="null3"/>
        <w:outlineLvl w:val="3"/>
      </w:pPr>
      <w:r>
        <w:rPr>
          <w:sz w:val="24"/>
          <w:b/>
        </w:rPr>
        <w:t>3.本项目特定的资格要求：</w:t>
      </w:r>
    </w:p>
    <w:p>
      <w:pPr>
        <w:pStyle w:val="null3"/>
      </w:pPr>
      <w:r>
        <w:rPr/>
        <w:t>采购包1（海丰县妇幼保健院新院升级扩建工程配套设施项目-医疗设备(第四批)）：</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pPr>
      <w:r>
        <w:rPr/>
        <w:t>4)投标人须具备相关主管部门颁发的有效期内的《辐射安全许可证》，获得许可的种类和范围应包含：销售III类射线装置，提供有效的证书复印件(如国家另有规定，则适用其规定)。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深圳市河图建设项目管理有限公司</w:t>
      </w:r>
    </w:p>
    <w:p>
      <w:pPr>
        <w:pStyle w:val="null3"/>
        <w:ind w:firstLine="480"/>
      </w:pPr>
      <w:r>
        <w:rPr/>
        <w:t xml:space="preserve"> 地址：</w:t>
      </w:r>
      <w:r>
        <w:rPr/>
        <w:t>深圳市福田区福田街道皇岗社区益田路3008号皇都广场C栋801-803</w:t>
      </w:r>
    </w:p>
    <w:p>
      <w:pPr>
        <w:pStyle w:val="null3"/>
        <w:ind w:firstLine="480"/>
      </w:pPr>
      <w:r>
        <w:rPr/>
        <w:t xml:space="preserve"> 联系方式：</w:t>
      </w:r>
      <w:r>
        <w:rPr/>
        <w:t>173 1803 5590</w:t>
      </w:r>
    </w:p>
    <w:p>
      <w:pPr>
        <w:pStyle w:val="null3"/>
        <w:outlineLvl w:val="3"/>
      </w:pPr>
      <w:r>
        <w:rPr>
          <w:sz w:val="24"/>
          <w:b/>
        </w:rPr>
        <w:t xml:space="preserve"> 3.项目联系方式</w:t>
      </w:r>
    </w:p>
    <w:p>
      <w:pPr>
        <w:pStyle w:val="null3"/>
        <w:ind w:firstLine="480"/>
      </w:pPr>
      <w:r>
        <w:rPr/>
        <w:t xml:space="preserve"> 项目联系人：</w:t>
      </w:r>
      <w:r>
        <w:rPr/>
        <w:t>曹工</w:t>
      </w:r>
    </w:p>
    <w:p>
      <w:pPr>
        <w:pStyle w:val="null3"/>
        <w:ind w:firstLine="480"/>
      </w:pPr>
      <w:r>
        <w:rPr/>
        <w:t xml:space="preserve"> 电话：</w:t>
      </w:r>
      <w:r>
        <w:rPr/>
        <w:t>173 1803 5590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深圳市河图建设项目管理有限公司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w:t>
      </w:r>
      <w:r>
        <w:rPr>
          <w:sz w:val="28"/>
          <w:b/>
        </w:rPr>
        <w:t>采购项目需实现的功能和目标</w:t>
      </w:r>
    </w:p>
    <w:p>
      <w:pPr>
        <w:pStyle w:val="null3"/>
        <w:ind w:firstLine="560"/>
        <w:jc w:val="both"/>
      </w:pPr>
      <w:r>
        <w:rPr>
          <w:sz w:val="28"/>
        </w:rPr>
        <w:t>海丰县妇幼保健院承担着全县妇女儿童的医疗保健、疾病防治等重要任务。新院升级扩建工程是提升我县医疗卫生服务水平的关键项目。为确保新院能够顺利投入使用并提供优质、高效的医疗服务，现拟采购计算机断层扫描（</w:t>
      </w:r>
      <w:r>
        <w:rPr>
          <w:sz w:val="28"/>
        </w:rPr>
        <w:t>CT）1套。</w:t>
      </w:r>
    </w:p>
    <w:p>
      <w:pPr>
        <w:pStyle w:val="null3"/>
        <w:ind w:firstLine="562"/>
        <w:jc w:val="both"/>
      </w:pPr>
      <w:r>
        <w:rPr>
          <w:sz w:val="28"/>
          <w:b/>
        </w:rPr>
        <w:t>（二）有关说明</w:t>
      </w:r>
    </w:p>
    <w:p>
      <w:pPr>
        <w:pStyle w:val="null3"/>
        <w:ind w:firstLine="560"/>
        <w:jc w:val="both"/>
      </w:pPr>
      <w:r>
        <w:rPr>
          <w:sz w:val="28"/>
        </w:rPr>
        <w:t>★1.如投标人为生产企业且所投产品为第一类医疗器械，须在投标文件中提供或在投标文件中承诺能在供货时提供已在药品监督管理部门完成医疗器械生产备案的证明文件复印件或扫描件。（如国家另有规定，则适用其规定）</w:t>
      </w:r>
    </w:p>
    <w:p>
      <w:pPr>
        <w:pStyle w:val="null3"/>
        <w:ind w:firstLine="560"/>
        <w:jc w:val="both"/>
      </w:pPr>
      <w:r>
        <w:rPr>
          <w:sz w:val="28"/>
        </w:rPr>
        <w:t>★2.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w:t>
      </w:r>
    </w:p>
    <w:p>
      <w:pPr>
        <w:pStyle w:val="null3"/>
        <w:ind w:firstLine="560"/>
        <w:jc w:val="both"/>
      </w:pPr>
      <w:r>
        <w:rPr>
          <w:sz w:val="28"/>
        </w:rPr>
        <w:t>★3.如所投产品属于第二类或第三类医疗器械，须在投标文件中提供或在投标文件中承诺在供货时提供药品监督管理部门签发的有效的《医疗器械注册证》复印件或扫描件。如所投产品属于第一类医疗器械，须在投标文件中提供或在投标文件中承诺能在供货时提供已在药品监督管理部门完成医疗器械产品备案的证明文件复印件或扫描件。（如国家另有规定，则适用其规定）</w:t>
      </w:r>
    </w:p>
    <w:p>
      <w:pPr>
        <w:pStyle w:val="null3"/>
        <w:ind w:firstLine="560"/>
        <w:jc w:val="both"/>
      </w:pPr>
      <w:r>
        <w:rPr>
          <w:sz w:val="28"/>
        </w:rPr>
        <w:t>4.落实国家有关部门对投标（响应）产品的强制性规定及优先采购要求：</w:t>
      </w:r>
    </w:p>
    <w:p>
      <w:pPr>
        <w:pStyle w:val="null3"/>
        <w:ind w:firstLine="560"/>
        <w:jc w:val="both"/>
      </w:pPr>
      <w:r>
        <w:rPr>
          <w:sz w:val="28"/>
        </w:rPr>
        <w:t>★（1）实施强制性产品认证的产品：本项目采购范围内涉及的产品若属于《中华人民共和国实施强制性产品认证的产品目录》内的产品，验收时中标人须出具该产品有效期内的“中国国家强制性产品认证”（CCC认证）证书复印件以及在全国认证认可信息公共服务平台上http://cx.cnca.cn查询结果的截图（证书状态必须为“有效”），并以在产品外部加施认证标志作为验收依据之一。投标人在投标（响应）文件中提供如下证明材料：提供承诺书（承诺在交货时提供该产品的“中国国家强制性产品认证”（CCC认证）证书（格式自拟）或参照《承诺函》（见“第六章 投标（响应）文件格式与要求”中《承诺函》格式））进行承诺，否则其投标（响应）无效。</w:t>
      </w:r>
    </w:p>
    <w:p>
      <w:pPr>
        <w:pStyle w:val="null3"/>
        <w:ind w:firstLine="560"/>
        <w:jc w:val="both"/>
      </w:pPr>
      <w:r>
        <w:rPr>
          <w:sz w:val="28"/>
        </w:rPr>
        <w:t>★（2）实施强制采购的节能产品：本项目采购范围内涉及的产品若属于《节能产品政府采购品目清单》范围中政府强制采购的节能产品的，依据品目清单和认证证书实施政府强制采购，投标人所投产品必须获得国家确定的认证机构出具的且处于有效期之内的节能产品认证证书，否则投标（响应）无效。投标人应填写《政策适用性说明》（见投标（响应）文件格式）明确列明具体产品的名称，并提交国家确定的认证机构出具的处于有效期之内的节能产品认证证书。强制采购节能产品在价格评审中不作价格扣除。投标人可查询中国政府采购网（网址http://www.ccgp.gov.cn）了解《节能产品政府采购品目清单》。</w:t>
      </w:r>
    </w:p>
    <w:p>
      <w:pPr>
        <w:pStyle w:val="null3"/>
        <w:ind w:firstLine="560"/>
        <w:jc w:val="both"/>
      </w:pPr>
      <w:r>
        <w:rPr>
          <w:sz w:val="28"/>
        </w:rPr>
        <w:t>（</w:t>
      </w:r>
      <w:r>
        <w:rPr>
          <w:sz w:val="28"/>
        </w:rPr>
        <w:t>3）实施优先采购的节能产品：本项目采购范围内涉及的产品若属于《节能产品政府采购品目清单》范围中政府优先采购的节能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节能产品认证证书。投标人可查询中国政府采购网（网址http://www.ccgp.gov.cn）了解《节能产品政府采购品目清单》。</w:t>
      </w:r>
    </w:p>
    <w:p>
      <w:pPr>
        <w:pStyle w:val="null3"/>
        <w:ind w:firstLine="560"/>
        <w:jc w:val="both"/>
      </w:pPr>
      <w:r>
        <w:rPr>
          <w:sz w:val="28"/>
        </w:rPr>
        <w:t>（</w:t>
      </w:r>
      <w:r>
        <w:rPr>
          <w:sz w:val="28"/>
        </w:rPr>
        <w:t>4）实施优先采购的环境标志产品：本项目采购范围内涉及的产品若属于《环境标志产品政府采购品目清单》范围中政府优先采购的环境标志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环境标志产品认证证书。投标人可查询中国政府采购网（网址http://www.ccgp.gov.cn）了解《环境标志产品政府采购品目清单》。</w:t>
      </w:r>
    </w:p>
    <w:p>
      <w:pPr>
        <w:pStyle w:val="null3"/>
        <w:ind w:firstLine="560"/>
        <w:jc w:val="both"/>
      </w:pPr>
      <w:r>
        <w:rPr>
          <w:sz w:val="28"/>
        </w:rPr>
        <w:t>5.本项目涉及的技术参数条款为基本功能需求描述，不具有排他性及唯一性限制，投标人可结合采购需求和自身技术优势，选用性能更优、技术更先进或适配性更强的产品参与投标响应。</w:t>
      </w:r>
    </w:p>
    <w:p>
      <w:pPr>
        <w:pStyle w:val="null3"/>
        <w:jc w:val="left"/>
      </w:pPr>
      <w:r>
        <w:rPr>
          <w:sz w:val="28"/>
          <w:b/>
        </w:rPr>
        <w:t>二、商务要求与技术要求</w:t>
      </w:r>
    </w:p>
    <w:p>
      <w:pPr>
        <w:pStyle w:val="null3"/>
        <w:ind w:firstLine="560"/>
        <w:jc w:val="both"/>
      </w:pPr>
      <w:r>
        <w:rPr/>
        <w:t>采购包1（海丰县妇幼保健院新院升级扩建工程配套设施项目-医疗设备(第四批)）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采购合同签订后接到采购人通知之日起30天内交货并完成安装、调试工作。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 ①全部设备到货、安装调试完毕后，中标人向采购人提交验收申请报告； 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 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 ④采购人应当出具验收书，验收人员应在验收书上签字； ⑤如验收不通过，采购人出具的验收书上应明确中标人需整改、完善的内容。 5.履约验收内容： ①招标文件技术要求履约情况证明资料：本项目全部设备技术资料； ②招标文件商务要求履约情况资料：质保期证明资料、售后服务人员投入证明资料、培训证明资料等。 6.交付验收标准依次序对照适用标准： ①符合中华人民共和国和履约地相关安全/质量标准、技术标准、行业标准、环保标准； ②符合招标文件和投标文件中采购人认可的合理最佳配置、技术标准及项目时间进度要求、各项商务要求； ③货物来源我国官方标准。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 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2.投标人所投的设备必须是具有已注册商标的品牌，须是厂商原装、全新、未曾使用过的，整机表面无污染，无侵权行为、洁净完好、无划伤、无碰撞、无锈迹、无任何缺陷隐患，包装外观完好、无破损。 3.如设备运输和安装过程中因事故造成货物短缺、损坏，中标人应及时安排补货、换货，以保证设备安装顺利完成。换货的相关费用由中标人承担。 4.投标人所投的货物不侵犯任何第三方的专利、商标或版权。否则，投标人须承担对第三方的专利或版权的侵权责任并承担因此而发生的所有费用。 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 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4.开箱后，中标人应对其全部产品、零件、配件、用户许可证书、资料等造册登记，并与装箱单对比，如有出入应立即书面记录，由中标人解决，如影响安装则按合同有关条款处理，登记册作为验收文档之一。 四、安装、调试、保养服务条款： 1.本招标文件所列所有设备、产品在合同签约后按约定时间内全部安装、调试完毕。 2.所有含电源线的设备符合国家安全规范，电源线应得到足够保护和位置固定，有相关防漏电的措施。 3.设备的拆箱、安装、通电、调试等各项工作由中标人负责。投标文件中给出的具体安装和测试方法，在实际实施前必须先经采购人同意方可进行。 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 5.中标人应在签订合同之日起5个日历日内与采购人对接，并向采购人提出产品安装、调试应准备的条件。设备到货后应派出有经验的工程技术人员到现场进行安装，采购人给予相应的配合。 6.中标人（或产品制造商）根据现场情况、招标文件的要求和投标文件的承诺及有关国家技术标准、规范进行安装并调试至正常运行的最佳状态。 7.安装过程中，若出现破坏管道、线路、桩柱、地面、墙面等设施现象，中标人要给予修复。完成安装后，中标人需负责清理安装过程中货物的外包装和搞好场地清洁卫生。 8.在安装过程发现的供货及其质量问题，中标人也要负责补救处理。 五、质量标准： 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 ★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 6.质保期满后，在备件停止生产的情况下，中标人应事先将要停止生产的计划通知采购人，使采购人有足够的时间采购所需备件；在备件停止生产后，中标人应向采购人提供备件的图纸、资料，相关费用已包含在投标报价中。 7.中标人须指派专人负责与采购人联系售后服务事宜。 七、培训要求，投标人必须提供但不限于以下培训要求： 1.为本项目尽快为各使用部门所熟悉，减少上手难度，中标人应为该项目准备好使用手册、培训PPT，系统软件部署完成后，在采购人指定地点提供现场技术培训，保证使用人员正常操作设备的各种功能； 2.投标人须根据招标文件采购的设备及采用的相关技术，在招标文件中提出全面的培训计划和课程内容安排，并在合同签订后征得采购人同意后实施；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其他商务需求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 应至少包括以下内容：1.项目整体实施计划；2.各项服务（包括但不限于安装和调试）；3.组织实施方案；4.供货流程等。具体要求包括： 1.项目整体实施计划： （1）明确项目目标、范围和预期成果，确保所有相关人员对项目有共同的理解和期望。 （2）制定详细的时间表，包括各阶段的关键节点、任务分配和预期完成时间。时间表应具有灵活性，以应对可能出现的延误或变更。 （3）评估项目风险，并制定相应的风险缓解措施和应急预案。确保在风险发生时能够迅速响应，减少对项目的影响。 2.各项服务（包括但不限于安装和测试）： （1）安装：派遣专业团队进行医疗设备的安装工作，确保设备按照制造商的指示正确安装并符合采购人的要求。在安装过程中，注意与采购人相关部门的沟通和协作。 （2）测试：在设备安装完成后进行全面的测试，包括功能测试、性能测试和安全测试。确保设备正常运行并满足采购人的需求。提供测试报告和必要的文档支持。 3.组织实施方案： （1）成立项目团队，明确各成员的职责和角色。确保团队成员具备必要的技能和经验。 （2）制定详细的工作计划和任务分配表，确保项目团队按照计划有序地开展工作。 （3）建立有效的沟通机制，包括定期会议、报告和反馈渠道。确保项目团队与采购人相关部门之间的顺畅沟通，及时解决项目中出现的问题。 4.供货流程 （1）供货前期准备 确认采购人现场条件（如安装空间、电源、温控要求），同步备货计划与采购人需求节点。 （2）到货交接与验收 提前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 应至少包括以下内容：1.产品质量保障承诺和整体方案、2.企业质量保障制度、3.设备包装保障措施、4.物流运输过程质量保障措施等。具体要求包括： 1.产品质量保障承诺和整体方案： （1）明确产品质量标准：投标人应提供详细的产品质量标准和规格说明，确保所提供的医疗设备符合采购人的使用需求和国家相关质量标准。 （2）产品质量保障承诺：投标人应承诺对产品质量负责，并提供相应的质量保证期限。在质保期内，如设备出现非人为因素导致的故障或损坏，投标人应负责免费维修或更换。 2.企业质量保障制度： （1）质量管理体系：投标人应建立完善的质量管理体系，包括质量策划、质量控制、质量保证和质量改进等环节，确保产品质量得到全面控制。 （2）质量检验流程：投标人应制定严格的质量检验流程，对原材料、零部件和成品进行检验，确保产品质量符合相关标准和要求。 （3）人员培训：投标人应定期对员工进行质量意识和技能培训，提高员工的质量意识和操作技能，确保产品质量稳定可靠。 3.设备包装保障措施： （1）包装材料选择：投标人应选择合适的包装材料，确保设备在运输过程中不受损坏。包装材料应具有防潮、防尘、防震等功能，并符合相关环保要求。 （2）包装方式设计：投标人应根据设备的形状、尺寸和重量等特点，设计合理的包装方式，确保设备在运输过程中能够保持稳定。 （3）标识与防护：投标人应在包装上标明设备名称、型号、数量、生产日期等信息，并采取相应的防护措施，如加贴警示标签、使用防护泡沫等，防止设备在运输过程中受到损坏。 4.物流运输过程质量保障措施： （1）选择合适的运输方式：投标人应根据设备的特性和运输距离等因素，选择合适的运输方式，如公路运输、铁路运输或空运等，确保设备能够安全、准时地到达医院。 （2）运输过程监控：投标人应建立运输过程监控机制，实时了解设备的运输情况，确保设备在运输过程中不受损坏。如发现问题，应及时采取措施进行处理。 （3）运输保险：投标人应为设备购买运输保险，确保在运输过程中如发生意外损坏或丢失等情况时，能够得到相应的赔偿。 （三）售后服务方案： 应至少包括以下内容：1.方案整体响应情况、2.技术力量配置、3.服务响应计划和时间方案安排、4.应急处置预案等。具体要求包括： 1.方案整体响应情况： （1）快速响应机制： 投标人应建立高效的售后服务团队，确保在接到采购人报修或咨询请求后，能够迅速响应并提供解决方案。 明确响应时间标准，确保采购人的需求得到及时处理。 （2）定期回访机制： 建立定期回访制度，主动了解设备的运行状况及采购人的需求和反馈，以便及时发现问题并提供改进建议。 回访结果应记录在案，作为后续服务改进的参考。 2.技术力量配置： （1）专业技术人员配备： 售后服务团队应包含具有丰富经验和专业知识的技术人员，能够解决设备运行过程中遇到的各种技术问题。 技术人员应定期接受培训，保持对新技术的掌握和应用能力。 （2）技术支持体系： 建立完善的技术支持体系，包括远程技术支持、现场技术支持等，确保在任何情况下都能为采购人提供及时有效的技术支持。 技术支持体系应涵盖设备的安装、调试、维修、保养等全生命周期管理。 3.服务响应计划和时间方案安排： （1）服务响应时间表： 制定详细的服务响应时间表，明确不同情况下的响应时间和服务流程，确保服务的高效性和准确性。 时间表应包含工作日和非工作日的响应安排，以满足采购人全天候的服务需求。 （2）定期维护计划： 根据设备的特性和采购人的实际需求，制定定期维护计划，包括设备检查、保养、更换易损件等，确保设备的稳定运行。 维护计划应明确维护时间、内容和责任人，确保各项维护工作得到落实。 4.应急处置预案： （1）应急响应流程： 制定应急处置预案，明确设备故障、人员伤害等突发事件的处理流程和责任人，确保在紧急情况下能够迅速、有效地应对。 预案应包含紧急联系方式、应急物资准备、人员疏散等关键要素。 （2）应急演练： 定期组织应急演练，检验应急处置预案的可行性和有效性，提高团队的应急响应能力。 演练结果应进行评估和总结，以便不断完善应急处置预案。 （四）培训方案： 应至少包括以下内容：1.培训目标制定与落实措施、2.培训次数针对性落实措施、3.师资力量调配和安排措施、4.结合本项目培训内容与计划制定及完善措施等。具体要求包括： 1.培训目标制定与落实措施： （1）明确培训目标： 根据医疗设备的特性和采购人的具体需求，制定培训目标，包括提高医护人员操作技能、增强安全意识、熟悉设备维护流程等。 （2）制定落实措施： 构建完整的培训体系，涵盖课程设计、教学方法选择、评估机制建立等。实施分阶段培训，强化实践操作，确保医护人员逐步掌握设备操作技能。 2.培训次数针对性落实措施： （1）确定培训次数： 根据采购人的需求和使用人员的实际情况，确定合理的培训次数，确保使用人员能够充分掌握设备操作技能。 （2）落实针对性措施： 定期复训：对于新入职的使用人员或设备更新后，进行定期复训，巩固操作技能。 个性化培训：针对使用人员的不同需求，提供个性化的培训服务，如针对特定设备的专项培训等。 3.师资力量调配和安排措施： （1）调配师资力量： 根据培训内容和需求，调配具有丰富经验和专业知识的师资力量，确保师资水平满足培训要求。 （2）安排师资力量： 制定教学计划，合理分配教学任务，充分发挥师资优势，保障培训质量。 4.结合本项目培训内容与计划制定及完善措施 （1）制定培训内容与计划： 分析设备特性，制定详细的培训计划，包括培训时间、地点、人员安排等，确保培训内容科学实用。 （2）完善培训措施： 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计算机断层扫描（CT）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4,800,000.00</w:t>
            </w:r>
          </w:p>
        </w:tc>
        <w:tc>
          <w:tcPr>
            <w:tcW w:type="dxa" w:w="831"/>
          </w:tcPr>
          <w:p>
            <w:pPr>
              <w:pStyle w:val="null3"/>
              <w:jc w:val="right"/>
            </w:pPr>
            <w:r>
              <w:rPr/>
              <w:t>4,800,000.00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计算机断层扫描（CT）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1.机架</w:t>
            </w:r>
          </w:p>
          <w:p>
            <w:pPr>
              <w:pStyle w:val="null3"/>
              <w:jc w:val="both"/>
            </w:pPr>
            <w:r>
              <w:rPr>
                <w:sz w:val="21"/>
              </w:rPr>
              <w:t>1.1机架内扫描孔直径：≥70cm</w:t>
            </w:r>
          </w:p>
          <w:p>
            <w:pPr>
              <w:pStyle w:val="null3"/>
              <w:jc w:val="both"/>
            </w:pPr>
            <w:r>
              <w:rPr>
                <w:sz w:val="21"/>
              </w:rPr>
              <w:t>1.2机架倾斜角度（不限方式）：≥±30°</w:t>
            </w:r>
          </w:p>
          <w:p>
            <w:pPr>
              <w:pStyle w:val="null3"/>
              <w:jc w:val="both"/>
            </w:pPr>
            <w:r>
              <w:rPr>
                <w:sz w:val="21"/>
              </w:rPr>
              <w:t>1.3机架冷却方式：风冷或水冷或油冷</w:t>
            </w:r>
          </w:p>
          <w:p>
            <w:pPr>
              <w:pStyle w:val="null3"/>
              <w:jc w:val="both"/>
            </w:pPr>
            <w:r>
              <w:rPr>
                <w:sz w:val="21"/>
              </w:rPr>
              <w:t>1.4滑环类型：低压滑环或静音滑环</w:t>
            </w:r>
          </w:p>
          <w:p>
            <w:pPr>
              <w:pStyle w:val="null3"/>
              <w:jc w:val="both"/>
            </w:pPr>
            <w:r>
              <w:rPr>
                <w:sz w:val="21"/>
              </w:rPr>
              <w:t>1.5球管焦点到等中心点的距离：≤56cm</w:t>
            </w:r>
          </w:p>
          <w:p>
            <w:pPr>
              <w:pStyle w:val="null3"/>
              <w:jc w:val="both"/>
            </w:pPr>
            <w:r>
              <w:rPr>
                <w:sz w:val="21"/>
              </w:rPr>
              <w:t>▲1.6球管焦点到探测器的距离：≤102cm</w:t>
            </w:r>
          </w:p>
          <w:p>
            <w:pPr>
              <w:pStyle w:val="null3"/>
              <w:jc w:val="both"/>
            </w:pPr>
            <w:r>
              <w:rPr>
                <w:sz w:val="21"/>
              </w:rPr>
              <w:t>1.7具备两套操作系统，可在主机操控台进行CT扫描操作，也可在扫描床通过机架触控面板进行CT操作系统</w:t>
            </w:r>
          </w:p>
          <w:p>
            <w:pPr>
              <w:pStyle w:val="null3"/>
              <w:jc w:val="both"/>
            </w:pPr>
            <w:r>
              <w:rPr>
                <w:sz w:val="21"/>
              </w:rPr>
              <w:t>1.8机架触控面板：≥2个</w:t>
            </w:r>
          </w:p>
          <w:p>
            <w:pPr>
              <w:pStyle w:val="null3"/>
              <w:jc w:val="both"/>
            </w:pPr>
            <w:r>
              <w:rPr>
                <w:sz w:val="21"/>
              </w:rPr>
              <w:t>1.9具备语音呼吸导航系统</w:t>
            </w:r>
          </w:p>
          <w:p>
            <w:pPr>
              <w:pStyle w:val="null3"/>
              <w:jc w:val="both"/>
            </w:pPr>
            <w:r>
              <w:rPr>
                <w:sz w:val="21"/>
              </w:rPr>
              <w:t>1.10具备内外激光定位灯</w:t>
            </w:r>
          </w:p>
        </w:tc>
      </w:tr>
      <w:tr>
        <w:tc>
          <w:tcPr>
            <w:tcW w:type="dxa" w:w="2076"/>
          </w:tcPr>
          <w:p/>
        </w:tc>
        <w:tc>
          <w:tcPr>
            <w:tcW w:type="dxa" w:w="415"/>
          </w:tcPr>
          <w:p>
            <w:pPr>
              <w:pStyle w:val="null3"/>
            </w:pPr>
            <w:r>
              <w:rPr/>
              <w:t>2</w:t>
            </w:r>
          </w:p>
        </w:tc>
        <w:tc>
          <w:tcPr>
            <w:tcW w:type="dxa" w:w="5814"/>
          </w:tcPr>
          <w:p>
            <w:pPr>
              <w:pStyle w:val="null3"/>
              <w:jc w:val="both"/>
            </w:pPr>
            <w:r>
              <w:rPr>
                <w:sz w:val="21"/>
                <w:b/>
              </w:rPr>
              <w:t>2.探测器</w:t>
            </w:r>
          </w:p>
          <w:p>
            <w:pPr>
              <w:pStyle w:val="null3"/>
              <w:jc w:val="both"/>
            </w:pPr>
            <w:r>
              <w:rPr>
                <w:sz w:val="21"/>
              </w:rPr>
              <w:t>2.1探测器Z轴物理排数：≥64排</w:t>
            </w:r>
          </w:p>
          <w:p>
            <w:pPr>
              <w:pStyle w:val="null3"/>
              <w:jc w:val="both"/>
            </w:pPr>
            <w:r>
              <w:rPr>
                <w:sz w:val="21"/>
              </w:rPr>
              <w:t>2.2探测器Z轴等中心覆盖宽度：≥40mm</w:t>
            </w:r>
          </w:p>
          <w:p>
            <w:pPr>
              <w:pStyle w:val="null3"/>
              <w:jc w:val="both"/>
            </w:pPr>
            <w:r>
              <w:rPr>
                <w:sz w:val="21"/>
              </w:rPr>
              <w:t>▲2.3探测器每排物理单元个数：≥845个</w:t>
            </w:r>
          </w:p>
          <w:p>
            <w:pPr>
              <w:pStyle w:val="null3"/>
              <w:jc w:val="both"/>
            </w:pPr>
            <w:r>
              <w:rPr>
                <w:sz w:val="21"/>
              </w:rPr>
              <w:t>2.4探测器物理总单元个数：≥54,000个</w:t>
            </w:r>
          </w:p>
          <w:p>
            <w:pPr>
              <w:pStyle w:val="null3"/>
              <w:jc w:val="both"/>
            </w:pPr>
            <w:r>
              <w:rPr>
                <w:sz w:val="21"/>
              </w:rPr>
              <w:t>2.5探测器Z轴单元最小物理尺寸：≤0.625mm</w:t>
            </w:r>
          </w:p>
          <w:p>
            <w:pPr>
              <w:pStyle w:val="null3"/>
              <w:jc w:val="both"/>
            </w:pPr>
            <w:r>
              <w:rPr>
                <w:sz w:val="21"/>
              </w:rPr>
              <w:t>2.6为保证信号传输一致性、校准精度、完全兼容性及售后协同效率，探测器应为所投CT设备整机厂商</w:t>
            </w:r>
            <w:r>
              <w:rPr>
                <w:sz w:val="21"/>
              </w:rPr>
              <w:t>同品牌。</w:t>
            </w:r>
          </w:p>
        </w:tc>
      </w:tr>
      <w:tr>
        <w:tc>
          <w:tcPr>
            <w:tcW w:type="dxa" w:w="2076"/>
          </w:tcPr>
          <w:p/>
        </w:tc>
        <w:tc>
          <w:tcPr>
            <w:tcW w:type="dxa" w:w="415"/>
          </w:tcPr>
          <w:p>
            <w:pPr>
              <w:pStyle w:val="null3"/>
            </w:pPr>
            <w:r>
              <w:rPr/>
              <w:t>3</w:t>
            </w:r>
          </w:p>
        </w:tc>
        <w:tc>
          <w:tcPr>
            <w:tcW w:type="dxa" w:w="5814"/>
          </w:tcPr>
          <w:p>
            <w:pPr>
              <w:pStyle w:val="null3"/>
              <w:jc w:val="both"/>
            </w:pPr>
            <w:r>
              <w:rPr>
                <w:sz w:val="21"/>
                <w:b/>
              </w:rPr>
              <w:t>3.X线成像系统</w:t>
            </w:r>
          </w:p>
          <w:p>
            <w:pPr>
              <w:pStyle w:val="null3"/>
              <w:jc w:val="both"/>
            </w:pPr>
            <w:r>
              <w:rPr>
                <w:sz w:val="21"/>
              </w:rPr>
              <w:t>3.1球管阳极物理热容量（非有效值）：≥7MHu；或提供新型低热容量高散热率球管，热容量：≤1MHU</w:t>
            </w:r>
          </w:p>
          <w:p>
            <w:pPr>
              <w:pStyle w:val="null3"/>
              <w:jc w:val="both"/>
            </w:pPr>
            <w:r>
              <w:rPr>
                <w:sz w:val="21"/>
              </w:rPr>
              <w:t>3.2球管液态金属轴承技术：具备</w:t>
            </w:r>
          </w:p>
          <w:p>
            <w:pPr>
              <w:pStyle w:val="null3"/>
              <w:jc w:val="both"/>
            </w:pPr>
            <w:r>
              <w:rPr>
                <w:sz w:val="21"/>
              </w:rPr>
              <w:t>▲3.3球管</w:t>
            </w:r>
            <w:r>
              <w:rPr>
                <w:sz w:val="21"/>
              </w:rPr>
              <w:t>等效</w:t>
            </w:r>
            <w:r>
              <w:rPr>
                <w:sz w:val="21"/>
              </w:rPr>
              <w:t>热容量：</w:t>
            </w:r>
            <w:r>
              <w:rPr>
                <w:sz w:val="21"/>
              </w:rPr>
              <w:t>≥30MHU</w:t>
            </w:r>
          </w:p>
          <w:p>
            <w:pPr>
              <w:pStyle w:val="null3"/>
              <w:jc w:val="both"/>
            </w:pPr>
            <w:r>
              <w:rPr>
                <w:sz w:val="21"/>
              </w:rPr>
              <w:t>▲3.4球管阳极最大散热率（非等效值）：≥1000KHU/min</w:t>
            </w:r>
          </w:p>
          <w:p>
            <w:pPr>
              <w:pStyle w:val="null3"/>
              <w:jc w:val="both"/>
            </w:pPr>
            <w:r>
              <w:rPr>
                <w:sz w:val="21"/>
              </w:rPr>
              <w:t>3.5球管最小输出管电流：≤10mA</w:t>
            </w:r>
          </w:p>
          <w:p>
            <w:pPr>
              <w:pStyle w:val="null3"/>
              <w:jc w:val="both"/>
            </w:pPr>
            <w:r>
              <w:rPr>
                <w:sz w:val="21"/>
              </w:rPr>
              <w:t>3.6球管最大输出管电流：≥500mA</w:t>
            </w:r>
          </w:p>
          <w:p>
            <w:pPr>
              <w:pStyle w:val="null3"/>
              <w:jc w:val="both"/>
            </w:pPr>
            <w:r>
              <w:rPr>
                <w:sz w:val="21"/>
              </w:rPr>
              <w:t>3.7球管最小输出管电压：≤80KV</w:t>
            </w:r>
          </w:p>
          <w:p>
            <w:pPr>
              <w:pStyle w:val="null3"/>
              <w:jc w:val="both"/>
            </w:pPr>
            <w:r>
              <w:rPr>
                <w:sz w:val="21"/>
              </w:rPr>
              <w:t>3.8球管最大输出管电压：≥140KV</w:t>
            </w:r>
          </w:p>
          <w:p>
            <w:pPr>
              <w:pStyle w:val="null3"/>
              <w:jc w:val="both"/>
            </w:pPr>
            <w:r>
              <w:rPr>
                <w:sz w:val="21"/>
              </w:rPr>
              <w:t>▲3.9球管最小焦点面积：≤0.45mm</w:t>
            </w:r>
            <w:r>
              <w:rPr>
                <w:sz w:val="21"/>
                <w:vertAlign w:val="superscript"/>
              </w:rPr>
              <w:t>2</w:t>
            </w:r>
          </w:p>
          <w:p>
            <w:pPr>
              <w:pStyle w:val="null3"/>
              <w:jc w:val="both"/>
            </w:pPr>
            <w:r>
              <w:rPr>
                <w:sz w:val="21"/>
              </w:rPr>
              <w:t>▲3.10球管最大焦点面积：≤1.00mm</w:t>
            </w:r>
            <w:r>
              <w:rPr>
                <w:sz w:val="21"/>
                <w:vertAlign w:val="superscript"/>
              </w:rPr>
              <w:t>2</w:t>
            </w:r>
          </w:p>
          <w:p>
            <w:pPr>
              <w:pStyle w:val="null3"/>
              <w:jc w:val="both"/>
            </w:pPr>
            <w:r>
              <w:rPr>
                <w:sz w:val="21"/>
              </w:rPr>
              <w:t>3.11高压发生器最大输出功率：≥55KW</w:t>
            </w:r>
          </w:p>
          <w:p>
            <w:pPr>
              <w:pStyle w:val="null3"/>
              <w:jc w:val="both"/>
            </w:pPr>
            <w:r>
              <w:rPr>
                <w:sz w:val="21"/>
              </w:rPr>
              <w:t>▲3.12为保证信号传输一致性、校准精度、完全兼容性及售后协同效率，球管应为所投CT设备整机厂商</w:t>
            </w:r>
            <w:r>
              <w:rPr>
                <w:sz w:val="21"/>
                <w:color w:val="000000"/>
              </w:rPr>
              <w:t>同品牌</w:t>
            </w:r>
          </w:p>
          <w:p>
            <w:pPr>
              <w:pStyle w:val="null3"/>
              <w:jc w:val="both"/>
            </w:pPr>
            <w:r>
              <w:rPr>
                <w:sz w:val="21"/>
                <w:color w:val="000000"/>
              </w:rPr>
              <w:t>▲3.13为保证信号传输一致性、校准精度、完全兼容性及售后协同效率，高压发生器应为所投CT设备整机厂商同品牌</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4.扫描床</w:t>
            </w:r>
          </w:p>
          <w:p>
            <w:pPr>
              <w:pStyle w:val="null3"/>
              <w:jc w:val="both"/>
            </w:pPr>
            <w:r>
              <w:rPr>
                <w:sz w:val="21"/>
              </w:rPr>
              <w:t>4.1扫描床最大水平移动范围：≥1700mm</w:t>
            </w:r>
          </w:p>
          <w:p>
            <w:pPr>
              <w:pStyle w:val="null3"/>
              <w:jc w:val="both"/>
            </w:pPr>
            <w:r>
              <w:rPr>
                <w:sz w:val="21"/>
              </w:rPr>
              <w:t>4.2扫描床最大水平移动速度：≥150mm/s</w:t>
            </w:r>
          </w:p>
          <w:p>
            <w:pPr>
              <w:pStyle w:val="null3"/>
              <w:jc w:val="both"/>
            </w:pPr>
            <w:r>
              <w:rPr>
                <w:sz w:val="21"/>
              </w:rPr>
              <w:t>4.3扫描床最大承重：≥225KG</w:t>
            </w:r>
          </w:p>
          <w:p>
            <w:pPr>
              <w:pStyle w:val="null3"/>
              <w:jc w:val="both"/>
            </w:pPr>
            <w:r>
              <w:rPr>
                <w:sz w:val="21"/>
              </w:rPr>
              <w:t>▲4.4扫描床面可垂直升降最低高度：≤460mm</w:t>
            </w:r>
          </w:p>
          <w:p>
            <w:pPr>
              <w:pStyle w:val="null3"/>
              <w:jc w:val="both"/>
            </w:pPr>
            <w:r>
              <w:rPr>
                <w:sz w:val="21"/>
              </w:rPr>
              <w:t>4.5扫描床面可垂直升降最高高度：≥980mm</w:t>
            </w:r>
          </w:p>
          <w:p>
            <w:pPr>
              <w:pStyle w:val="null3"/>
              <w:jc w:val="both"/>
            </w:pPr>
            <w:r>
              <w:rPr>
                <w:sz w:val="21"/>
              </w:rPr>
              <w:t>4.6扫描床定位精度：≤±0.25mm</w:t>
            </w:r>
          </w:p>
          <w:p>
            <w:pPr>
              <w:pStyle w:val="null3"/>
              <w:jc w:val="both"/>
            </w:pPr>
            <w:r>
              <w:rPr>
                <w:sz w:val="21"/>
              </w:rPr>
              <w:t>4.7扫描床点滴架：具备</w:t>
            </w:r>
          </w:p>
          <w:p>
            <w:pPr>
              <w:pStyle w:val="null3"/>
              <w:jc w:val="both"/>
            </w:pPr>
            <w:r>
              <w:rPr>
                <w:sz w:val="21"/>
              </w:rPr>
              <w:t>4.8扫描床托盘架：具备</w:t>
            </w:r>
          </w:p>
          <w:p>
            <w:pPr>
              <w:pStyle w:val="null3"/>
              <w:jc w:val="both"/>
            </w:pPr>
            <w:r>
              <w:rPr>
                <w:sz w:val="21"/>
              </w:rPr>
              <w:t>4.9扫描床控制脚踏板：具备</w:t>
            </w:r>
          </w:p>
        </w:tc>
      </w:tr>
      <w:tr>
        <w:tc>
          <w:tcPr>
            <w:tcW w:type="dxa" w:w="2076"/>
          </w:tcPr>
          <w:p/>
        </w:tc>
        <w:tc>
          <w:tcPr>
            <w:tcW w:type="dxa" w:w="415"/>
          </w:tcPr>
          <w:p>
            <w:pPr>
              <w:pStyle w:val="null3"/>
            </w:pPr>
            <w:r>
              <w:rPr/>
              <w:t>5</w:t>
            </w:r>
          </w:p>
        </w:tc>
        <w:tc>
          <w:tcPr>
            <w:tcW w:type="dxa" w:w="5814"/>
          </w:tcPr>
          <w:p>
            <w:pPr>
              <w:pStyle w:val="null3"/>
              <w:jc w:val="both"/>
            </w:pPr>
            <w:r>
              <w:rPr>
                <w:sz w:val="21"/>
                <w:b/>
              </w:rPr>
              <w:t>5.扫描参数</w:t>
            </w:r>
          </w:p>
          <w:p>
            <w:pPr>
              <w:pStyle w:val="null3"/>
              <w:jc w:val="both"/>
            </w:pPr>
            <w:r>
              <w:rPr>
                <w:sz w:val="21"/>
              </w:rPr>
              <w:t>▲5.1最快扫描时间：≤0.35s/360°</w:t>
            </w:r>
          </w:p>
          <w:p>
            <w:pPr>
              <w:pStyle w:val="null3"/>
              <w:jc w:val="both"/>
            </w:pPr>
            <w:r>
              <w:rPr>
                <w:sz w:val="21"/>
              </w:rPr>
              <w:t>5.2全探测器采集模式最小准直：≤0.625mm</w:t>
            </w:r>
          </w:p>
          <w:p>
            <w:pPr>
              <w:pStyle w:val="null3"/>
              <w:jc w:val="both"/>
            </w:pPr>
            <w:r>
              <w:rPr>
                <w:sz w:val="21"/>
              </w:rPr>
              <w:t>5.3定位像长度：≥150cm</w:t>
            </w:r>
          </w:p>
          <w:p>
            <w:pPr>
              <w:pStyle w:val="null3"/>
              <w:jc w:val="both"/>
            </w:pPr>
            <w:r>
              <w:rPr>
                <w:sz w:val="21"/>
              </w:rPr>
              <w:t>5.4定位片计划：双定位</w:t>
            </w:r>
          </w:p>
          <w:p>
            <w:pPr>
              <w:pStyle w:val="null3"/>
              <w:jc w:val="both"/>
            </w:pPr>
            <w:r>
              <w:rPr>
                <w:sz w:val="21"/>
              </w:rPr>
              <w:t>5.5最大扫描螺距：≥1.5:1</w:t>
            </w:r>
          </w:p>
          <w:p>
            <w:pPr>
              <w:pStyle w:val="null3"/>
              <w:jc w:val="both"/>
            </w:pPr>
            <w:r>
              <w:rPr>
                <w:sz w:val="21"/>
              </w:rPr>
              <w:t>5.6最小扫描螺距：≤0.5:1</w:t>
            </w:r>
          </w:p>
          <w:p>
            <w:pPr>
              <w:pStyle w:val="null3"/>
              <w:jc w:val="both"/>
            </w:pPr>
            <w:r>
              <w:rPr>
                <w:sz w:val="21"/>
              </w:rPr>
              <w:t>5.7重建视野FOV：≥50cm</w:t>
            </w:r>
          </w:p>
          <w:p>
            <w:pPr>
              <w:pStyle w:val="null3"/>
              <w:jc w:val="both"/>
            </w:pPr>
            <w:r>
              <w:rPr>
                <w:sz w:val="21"/>
              </w:rPr>
              <w:t>5.8最长连续螺旋扫描时间：≥120s</w:t>
            </w:r>
          </w:p>
          <w:p>
            <w:pPr>
              <w:pStyle w:val="null3"/>
              <w:jc w:val="both"/>
            </w:pPr>
            <w:r>
              <w:rPr>
                <w:sz w:val="21"/>
              </w:rPr>
              <w:t>5.9图像重建速度：≥70幅/秒</w:t>
            </w:r>
          </w:p>
        </w:tc>
      </w:tr>
      <w:tr>
        <w:tc>
          <w:tcPr>
            <w:tcW w:type="dxa" w:w="2076"/>
          </w:tcPr>
          <w:p/>
        </w:tc>
        <w:tc>
          <w:tcPr>
            <w:tcW w:type="dxa" w:w="415"/>
          </w:tcPr>
          <w:p>
            <w:pPr>
              <w:pStyle w:val="null3"/>
            </w:pPr>
            <w:r>
              <w:rPr/>
              <w:t>6</w:t>
            </w:r>
          </w:p>
        </w:tc>
        <w:tc>
          <w:tcPr>
            <w:tcW w:type="dxa" w:w="5814"/>
          </w:tcPr>
          <w:p>
            <w:pPr>
              <w:pStyle w:val="null3"/>
              <w:jc w:val="both"/>
            </w:pPr>
            <w:r>
              <w:rPr>
                <w:sz w:val="21"/>
                <w:b/>
              </w:rPr>
              <w:t>6.图像质量</w:t>
            </w:r>
          </w:p>
          <w:p>
            <w:pPr>
              <w:pStyle w:val="null3"/>
              <w:jc w:val="both"/>
            </w:pPr>
            <w:r>
              <w:rPr>
                <w:sz w:val="21"/>
              </w:rPr>
              <w:t>6.1空间分辨率：MTF 0%：≥18 lp/cm</w:t>
            </w:r>
          </w:p>
          <w:p>
            <w:pPr>
              <w:pStyle w:val="null3"/>
              <w:jc w:val="both"/>
            </w:pPr>
            <w:r>
              <w:rPr>
                <w:sz w:val="21"/>
              </w:rPr>
              <w:t>6.2密度分辨率：≤5mm@0.3%</w:t>
            </w:r>
          </w:p>
          <w:p>
            <w:pPr>
              <w:pStyle w:val="null3"/>
              <w:jc w:val="both"/>
            </w:pPr>
            <w:r>
              <w:rPr>
                <w:sz w:val="21"/>
              </w:rPr>
              <w:t>6.3标准图像重建矩阵：≥512×512</w:t>
            </w:r>
          </w:p>
          <w:p>
            <w:pPr>
              <w:pStyle w:val="null3"/>
              <w:jc w:val="both"/>
            </w:pPr>
            <w:r>
              <w:rPr>
                <w:sz w:val="21"/>
              </w:rPr>
              <w:t>6.4高清图像重建矩阵：≥1024×1024</w:t>
            </w:r>
          </w:p>
          <w:p>
            <w:pPr>
              <w:pStyle w:val="null3"/>
              <w:jc w:val="both"/>
            </w:pPr>
            <w:r>
              <w:rPr>
                <w:sz w:val="21"/>
              </w:rPr>
              <w:t>6.5最低可分辨CT值：≤-31700HU</w:t>
            </w:r>
          </w:p>
          <w:p>
            <w:pPr>
              <w:pStyle w:val="null3"/>
              <w:jc w:val="both"/>
            </w:pPr>
            <w:r>
              <w:rPr>
                <w:sz w:val="21"/>
              </w:rPr>
              <w:t>6.6最高可分辨CT值：≥+31700HU</w:t>
            </w:r>
          </w:p>
        </w:tc>
      </w:tr>
      <w:tr>
        <w:tc>
          <w:tcPr>
            <w:tcW w:type="dxa" w:w="2076"/>
          </w:tcPr>
          <w:p/>
        </w:tc>
        <w:tc>
          <w:tcPr>
            <w:tcW w:type="dxa" w:w="415"/>
          </w:tcPr>
          <w:p>
            <w:pPr>
              <w:pStyle w:val="null3"/>
            </w:pPr>
            <w:r>
              <w:rPr/>
              <w:t>7</w:t>
            </w:r>
          </w:p>
        </w:tc>
        <w:tc>
          <w:tcPr>
            <w:tcW w:type="dxa" w:w="5814"/>
          </w:tcPr>
          <w:p>
            <w:pPr>
              <w:pStyle w:val="null3"/>
              <w:jc w:val="both"/>
            </w:pPr>
            <w:r>
              <w:rPr>
                <w:sz w:val="21"/>
                <w:b/>
              </w:rPr>
              <w:t>7.计算机</w:t>
            </w:r>
          </w:p>
          <w:p>
            <w:pPr>
              <w:pStyle w:val="null3"/>
              <w:jc w:val="both"/>
            </w:pPr>
            <w:r>
              <w:rPr>
                <w:sz w:val="21"/>
              </w:rPr>
              <w:t>7.1内存：≥32 GB</w:t>
            </w:r>
          </w:p>
          <w:p>
            <w:pPr>
              <w:pStyle w:val="null3"/>
              <w:jc w:val="both"/>
            </w:pPr>
            <w:r>
              <w:rPr>
                <w:sz w:val="21"/>
              </w:rPr>
              <w:t>7.2硬盘容量：≥1TB</w:t>
            </w:r>
          </w:p>
          <w:p>
            <w:pPr>
              <w:pStyle w:val="null3"/>
              <w:jc w:val="both"/>
            </w:pPr>
            <w:r>
              <w:rPr>
                <w:sz w:val="21"/>
              </w:rPr>
              <w:t>7.3图像存储量：≥400,000幅无压缩图像（512矩阵不压缩图像）</w:t>
            </w:r>
          </w:p>
          <w:p>
            <w:pPr>
              <w:pStyle w:val="null3"/>
              <w:jc w:val="both"/>
            </w:pPr>
            <w:r>
              <w:rPr>
                <w:sz w:val="21"/>
              </w:rPr>
              <w:t>7.4配置双屏显示器：具备</w:t>
            </w:r>
          </w:p>
          <w:p>
            <w:pPr>
              <w:pStyle w:val="null3"/>
              <w:jc w:val="both"/>
            </w:pPr>
            <w:r>
              <w:rPr>
                <w:sz w:val="21"/>
              </w:rPr>
              <w:t>7.5同步并行处理功能：具备</w:t>
            </w:r>
          </w:p>
          <w:p>
            <w:pPr>
              <w:pStyle w:val="null3"/>
              <w:jc w:val="both"/>
            </w:pPr>
            <w:r>
              <w:rPr>
                <w:sz w:val="21"/>
              </w:rPr>
              <w:t>7.6自动语音系统及双向语音传输：具备</w:t>
            </w:r>
          </w:p>
          <w:p>
            <w:pPr>
              <w:pStyle w:val="null3"/>
              <w:jc w:val="both"/>
            </w:pPr>
            <w:r>
              <w:rPr>
                <w:sz w:val="21"/>
              </w:rPr>
              <w:t>7.7 Dicom 3.0接口：具备</w:t>
            </w:r>
          </w:p>
          <w:p>
            <w:pPr>
              <w:pStyle w:val="null3"/>
              <w:jc w:val="both"/>
            </w:pPr>
            <w:r>
              <w:rPr>
                <w:sz w:val="21"/>
              </w:rPr>
              <w:t>7.8 USB外置硬盘接口：具备</w:t>
            </w:r>
          </w:p>
        </w:tc>
      </w:tr>
      <w:tr>
        <w:tc>
          <w:tcPr>
            <w:tcW w:type="dxa" w:w="2076"/>
          </w:tcPr>
          <w:p/>
        </w:tc>
        <w:tc>
          <w:tcPr>
            <w:tcW w:type="dxa" w:w="415"/>
          </w:tcPr>
          <w:p>
            <w:pPr>
              <w:pStyle w:val="null3"/>
            </w:pPr>
            <w:r>
              <w:rPr/>
              <w:t>8</w:t>
            </w:r>
          </w:p>
        </w:tc>
        <w:tc>
          <w:tcPr>
            <w:tcW w:type="dxa" w:w="5814"/>
          </w:tcPr>
          <w:p>
            <w:pPr>
              <w:pStyle w:val="null3"/>
              <w:jc w:val="both"/>
            </w:pPr>
            <w:r>
              <w:rPr>
                <w:sz w:val="21"/>
                <w:b/>
              </w:rPr>
              <w:t>8.临床应用软件</w:t>
            </w:r>
          </w:p>
          <w:p>
            <w:pPr>
              <w:pStyle w:val="null3"/>
              <w:jc w:val="both"/>
            </w:pPr>
            <w:r>
              <w:rPr>
                <w:sz w:val="21"/>
              </w:rPr>
              <w:t>8.1最小密度投影（MinIP）：具备</w:t>
            </w:r>
          </w:p>
          <w:p>
            <w:pPr>
              <w:pStyle w:val="null3"/>
              <w:jc w:val="both"/>
            </w:pPr>
            <w:r>
              <w:rPr>
                <w:sz w:val="21"/>
              </w:rPr>
              <w:t>8.2最大密度投影（MIP）：具备</w:t>
            </w:r>
          </w:p>
          <w:p>
            <w:pPr>
              <w:pStyle w:val="null3"/>
              <w:jc w:val="both"/>
            </w:pPr>
            <w:r>
              <w:rPr>
                <w:sz w:val="21"/>
              </w:rPr>
              <w:t>8.3直接二维多平面浏览：具备</w:t>
            </w:r>
          </w:p>
          <w:p>
            <w:pPr>
              <w:pStyle w:val="null3"/>
              <w:jc w:val="both"/>
            </w:pPr>
            <w:r>
              <w:rPr>
                <w:sz w:val="21"/>
              </w:rPr>
              <w:t>8.4多平面重建(MPR) ：具备</w:t>
            </w:r>
          </w:p>
          <w:p>
            <w:pPr>
              <w:pStyle w:val="null3"/>
              <w:jc w:val="both"/>
            </w:pPr>
            <w:r>
              <w:rPr>
                <w:sz w:val="21"/>
              </w:rPr>
              <w:t>8.5表面重建（SSD）：具备</w:t>
            </w:r>
          </w:p>
          <w:p>
            <w:pPr>
              <w:pStyle w:val="null3"/>
              <w:jc w:val="both"/>
            </w:pPr>
            <w:r>
              <w:rPr>
                <w:sz w:val="21"/>
              </w:rPr>
              <w:t>8.6三维重建(VR) ：具备</w:t>
            </w:r>
          </w:p>
          <w:p>
            <w:pPr>
              <w:pStyle w:val="null3"/>
              <w:jc w:val="both"/>
            </w:pPr>
            <w:r>
              <w:rPr>
                <w:sz w:val="21"/>
              </w:rPr>
              <w:t>8.7曲面重建：具备</w:t>
            </w:r>
          </w:p>
          <w:p>
            <w:pPr>
              <w:pStyle w:val="null3"/>
              <w:jc w:val="both"/>
            </w:pPr>
            <w:r>
              <w:rPr>
                <w:sz w:val="21"/>
              </w:rPr>
              <w:t>8.8仿真内窥镜功能：具备</w:t>
            </w:r>
          </w:p>
          <w:p>
            <w:pPr>
              <w:pStyle w:val="null3"/>
              <w:jc w:val="both"/>
            </w:pPr>
            <w:r>
              <w:rPr>
                <w:sz w:val="21"/>
              </w:rPr>
              <w:t>8.9模拟手术刀功能：具备</w:t>
            </w:r>
          </w:p>
          <w:p>
            <w:pPr>
              <w:pStyle w:val="null3"/>
              <w:jc w:val="both"/>
            </w:pPr>
            <w:r>
              <w:rPr>
                <w:sz w:val="21"/>
              </w:rPr>
              <w:t>8.10血管扫描成像功能：具备</w:t>
            </w:r>
          </w:p>
          <w:p>
            <w:pPr>
              <w:pStyle w:val="null3"/>
              <w:jc w:val="both"/>
            </w:pPr>
            <w:r>
              <w:rPr>
                <w:sz w:val="21"/>
              </w:rPr>
              <w:t>8.11透明显示技术：具备</w:t>
            </w:r>
          </w:p>
          <w:p>
            <w:pPr>
              <w:pStyle w:val="null3"/>
              <w:jc w:val="both"/>
            </w:pPr>
            <w:r>
              <w:rPr>
                <w:sz w:val="21"/>
              </w:rPr>
              <w:t>8.12 CT电影显示功能：具备</w:t>
            </w:r>
          </w:p>
          <w:p>
            <w:pPr>
              <w:pStyle w:val="null3"/>
              <w:jc w:val="both"/>
            </w:pPr>
            <w:r>
              <w:rPr>
                <w:sz w:val="21"/>
              </w:rPr>
              <w:t>8.13造影剂智能动态跟踪：具备</w:t>
            </w:r>
          </w:p>
          <w:p>
            <w:pPr>
              <w:pStyle w:val="null3"/>
              <w:jc w:val="both"/>
            </w:pPr>
            <w:r>
              <w:rPr>
                <w:sz w:val="21"/>
              </w:rPr>
              <w:t>8.14脑组织表面积积分分析：具备</w:t>
            </w:r>
          </w:p>
          <w:p>
            <w:pPr>
              <w:pStyle w:val="null3"/>
              <w:jc w:val="both"/>
            </w:pPr>
            <w:r>
              <w:rPr>
                <w:sz w:val="21"/>
              </w:rPr>
              <w:t>8.15脑出血测量：具备</w:t>
            </w:r>
          </w:p>
          <w:p>
            <w:pPr>
              <w:pStyle w:val="null3"/>
              <w:jc w:val="both"/>
            </w:pPr>
            <w:r>
              <w:rPr>
                <w:sz w:val="21"/>
              </w:rPr>
              <w:t>8.16低剂量肺扫描技术：具备</w:t>
            </w:r>
          </w:p>
          <w:p>
            <w:pPr>
              <w:pStyle w:val="null3"/>
              <w:jc w:val="both"/>
            </w:pPr>
            <w:r>
              <w:rPr>
                <w:sz w:val="21"/>
              </w:rPr>
              <w:t>8.17高分辨率肺扫描技术：具备</w:t>
            </w:r>
          </w:p>
          <w:p>
            <w:pPr>
              <w:pStyle w:val="null3"/>
              <w:jc w:val="both"/>
            </w:pPr>
            <w:r>
              <w:rPr>
                <w:sz w:val="21"/>
              </w:rPr>
              <w:t>8.18肺气肿评估工具：具备</w:t>
            </w:r>
          </w:p>
          <w:p>
            <w:pPr>
              <w:pStyle w:val="null3"/>
              <w:jc w:val="both"/>
            </w:pPr>
            <w:r>
              <w:rPr>
                <w:sz w:val="21"/>
              </w:rPr>
              <w:t>8.19肺小结节评估工具：具备</w:t>
            </w:r>
          </w:p>
          <w:p>
            <w:pPr>
              <w:pStyle w:val="null3"/>
              <w:jc w:val="both"/>
            </w:pPr>
            <w:r>
              <w:rPr>
                <w:sz w:val="21"/>
              </w:rPr>
              <w:t>8.20单键去骨技术：具备</w:t>
            </w:r>
          </w:p>
          <w:p>
            <w:pPr>
              <w:pStyle w:val="null3"/>
              <w:jc w:val="both"/>
            </w:pPr>
            <w:r>
              <w:rPr>
                <w:sz w:val="21"/>
              </w:rPr>
              <w:t>8.21外周血管自动提取及分析：具备</w:t>
            </w:r>
          </w:p>
          <w:p>
            <w:pPr>
              <w:pStyle w:val="null3"/>
              <w:jc w:val="both"/>
            </w:pPr>
            <w:r>
              <w:rPr>
                <w:sz w:val="21"/>
              </w:rPr>
              <w:t>8.22腹部多期相融合：具备</w:t>
            </w:r>
          </w:p>
          <w:p>
            <w:pPr>
              <w:pStyle w:val="null3"/>
              <w:jc w:val="both"/>
            </w:pPr>
            <w:r>
              <w:rPr>
                <w:sz w:val="21"/>
              </w:rPr>
              <w:t>8.23尿路造影：具备</w:t>
            </w:r>
          </w:p>
          <w:p>
            <w:pPr>
              <w:pStyle w:val="null3"/>
              <w:jc w:val="both"/>
            </w:pPr>
            <w:r>
              <w:rPr>
                <w:sz w:val="21"/>
              </w:rPr>
              <w:t>8.24内耳多功能成像技术：具备</w:t>
            </w:r>
          </w:p>
          <w:p>
            <w:pPr>
              <w:pStyle w:val="null3"/>
              <w:jc w:val="both"/>
            </w:pPr>
            <w:r>
              <w:rPr>
                <w:sz w:val="21"/>
              </w:rPr>
              <w:t>8.25肝体积测量工具：具备</w:t>
            </w:r>
          </w:p>
          <w:p>
            <w:pPr>
              <w:pStyle w:val="null3"/>
              <w:jc w:val="both"/>
            </w:pPr>
            <w:r>
              <w:rPr>
                <w:sz w:val="21"/>
              </w:rPr>
              <w:t>8.26肝脏三期诊断工具：具备</w:t>
            </w:r>
          </w:p>
          <w:p>
            <w:pPr>
              <w:pStyle w:val="null3"/>
              <w:jc w:val="both"/>
            </w:pPr>
            <w:r>
              <w:rPr>
                <w:sz w:val="21"/>
              </w:rPr>
              <w:t>8.27微辐射平台</w:t>
            </w:r>
          </w:p>
          <w:p>
            <w:pPr>
              <w:pStyle w:val="null3"/>
              <w:jc w:val="both"/>
            </w:pPr>
            <w:r>
              <w:rPr>
                <w:sz w:val="21"/>
              </w:rPr>
              <w:t>8.27.1具备微辐射影像重建技术</w:t>
            </w:r>
          </w:p>
          <w:p>
            <w:pPr>
              <w:pStyle w:val="null3"/>
              <w:jc w:val="both"/>
            </w:pPr>
            <w:r>
              <w:rPr>
                <w:sz w:val="21"/>
              </w:rPr>
              <w:t>8.27.2多模型影像重建技术：具备</w:t>
            </w:r>
          </w:p>
          <w:p>
            <w:pPr>
              <w:pStyle w:val="null3"/>
              <w:jc w:val="both"/>
            </w:pPr>
            <w:r>
              <w:rPr>
                <w:sz w:val="21"/>
              </w:rPr>
              <w:t>8.27.2微辐射迭代重建能最高降低剂量：≥80%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1.采购代理机构：本项目是指深圳市河图建设项目管理有限公司，负责整个采购活动的组织，依法负责编制和发布招标文件，对招标文件拥有最终的解释权，不以任何身份出任评标委员会成员。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深圳市河图建设项目管理有限公司</w:t>
      </w:r>
      <w:r>
        <w:rPr/>
        <w:t>代收。具体操作要求详见</w:t>
      </w:r>
      <w:r>
        <w:rPr/>
        <w:t>深圳市河图建设项目管理有限公司</w:t>
      </w:r>
      <w:r>
        <w:rPr/>
        <w:t>有关指引，递交事宜请自行咨询</w:t>
      </w:r>
      <w:r>
        <w:rPr/>
        <w:t>深圳市河图建设项目管理有限公司</w:t>
      </w:r>
      <w:r>
        <w:rPr/>
        <w:t>；请各投标人在投标文件递交截止时间前按须知前附表规定的金额递交至</w:t>
      </w:r>
      <w:r>
        <w:rPr/>
        <w:t>深圳市河图建设项目管理有限公司</w:t>
      </w:r>
      <w:r>
        <w:rPr/>
        <w:t>，到账情况以开标时</w:t>
      </w:r>
      <w:r>
        <w:rPr/>
        <w:t>深圳市河图建设项目管理有限公司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曹工</w:t>
      </w:r>
    </w:p>
    <w:p>
      <w:pPr>
        <w:pStyle w:val="null3"/>
        <w:ind w:firstLine="480"/>
      </w:pPr>
      <w:r>
        <w:rPr/>
        <w:t>电话：</w:t>
      </w:r>
      <w:r>
        <w:rPr/>
        <w:t>173 1803 5590</w:t>
      </w:r>
    </w:p>
    <w:p>
      <w:pPr>
        <w:pStyle w:val="null3"/>
        <w:ind w:firstLine="480"/>
      </w:pPr>
      <w:r>
        <w:rPr/>
        <w:t>传真：</w:t>
      </w:r>
      <w:r>
        <w:rPr/>
        <w:t>/</w:t>
      </w:r>
    </w:p>
    <w:p>
      <w:pPr>
        <w:pStyle w:val="null3"/>
        <w:ind w:firstLine="480"/>
      </w:pPr>
      <w:r>
        <w:rPr/>
        <w:t>邮箱：</w:t>
      </w:r>
      <w:r>
        <w:rPr/>
        <w:t>PC82567802@163.com</w:t>
      </w:r>
    </w:p>
    <w:p>
      <w:pPr>
        <w:pStyle w:val="null3"/>
        <w:ind w:firstLine="480"/>
      </w:pPr>
      <w:r>
        <w:rPr/>
        <w:t>地址：</w:t>
      </w:r>
      <w:r>
        <w:rPr/>
        <w:t>深圳市福田区福田街道皇岗社区益田路3008号皇都广场C栋801-803</w:t>
      </w:r>
    </w:p>
    <w:p>
      <w:pPr>
        <w:pStyle w:val="null3"/>
        <w:ind w:firstLine="480"/>
      </w:pPr>
      <w:r>
        <w:rPr/>
        <w:t>邮编：</w:t>
      </w:r>
      <w:r>
        <w:rPr/>
        <w:t>518000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妇幼保健院新院升级扩建工程配套设施项目-医疗设备(第四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深圳市河图建设项目管理有限公司</w:t>
      </w:r>
      <w:r>
        <w:rPr/>
        <w:t>统一对外发布。</w:t>
      </w:r>
    </w:p>
    <w:p>
      <w:pPr>
        <w:pStyle w:val="null3"/>
        <w:ind w:firstLine="480"/>
      </w:pPr>
      <w:r>
        <w:rPr/>
        <w:t>（2）对</w:t>
      </w:r>
      <w:r>
        <w:rPr/>
        <w:t>深圳市河图建设项目管理有限公司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采购包1（海丰县妇幼保健院新院升级扩建工程配套设施项目-医疗设备(第四批)）：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采购包1（海丰县妇幼保健院新院升级扩建工程配套设施项目-医疗设备(第四批)）：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企业资质</w:t>
            </w:r>
          </w:p>
        </w:tc>
        <w:tc>
          <w:tcPr>
            <w:tcW w:type="dxa" w:w="4238"/>
          </w:tcPr>
          <w:p>
            <w:pPr>
              <w:pStyle w:val="null3"/>
            </w:pPr>
            <w:r>
              <w:rPr/>
              <w:t>投标人须具备相关主管部门颁发的有效期内的《辐射安全许可证》，获得许可的种类和范围应包含：销售III类射线装置，提供有效的证书复印件(如国家另有规定，则适用其规定)。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本项目不属于专门面向中小企业采购的项目；本项目中小企业划分标准所属行业为工业。</w:t>
            </w:r>
          </w:p>
        </w:tc>
      </w:tr>
    </w:tbl>
    <w:p>
      <w:pPr>
        <w:pStyle w:val="null3"/>
        <w:ind w:firstLine="480"/>
      </w:pPr>
      <w:r>
        <w:rPr/>
        <w:t>表二符合性审查表：</w:t>
      </w:r>
    </w:p>
    <w:p>
      <w:pPr>
        <w:pStyle w:val="null3"/>
      </w:pPr>
      <w:r>
        <w:rPr/>
        <w:t>采购包1（海丰县妇幼保健院新院升级扩建工程配套设施项目-医疗设备(第四批)）：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采购包1(海丰县妇幼保健院新院升级扩建工程配套设施项目-医疗设备(第四批)):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(20.0分)</w:t>
            </w:r>
          </w:p>
        </w:tc>
        <w:tc>
          <w:tcPr>
            <w:tcW w:type="dxa" w:w="5076"/>
          </w:tcPr>
          <w:p>
            <w:pPr>
              <w:pStyle w:val="null3"/>
              <w:jc w:val="left"/>
            </w:pPr>
            <w:r>
              <w:rPr/>
              <w:t>根据投标人对“第二章 采购需求”中“附表一”中带“▲”的重要技术条款响应情况进行评审（共10项，最高得20分）：每项响应为“正偏离”或“无偏离”的，每项得2分；响应有“负偏离”的，该项不得分。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(6.0分)</w:t>
            </w:r>
          </w:p>
        </w:tc>
        <w:tc>
          <w:tcPr>
            <w:tcW w:type="dxa" w:w="5076"/>
          </w:tcPr>
          <w:p>
            <w:pPr>
              <w:pStyle w:val="null3"/>
              <w:jc w:val="left"/>
            </w:pPr>
            <w:r>
              <w:rPr/>
              <w:t>根据投标人对“第二章 采购需求”中“附表一序号1至序号8”中未标注“★”或“▲”的一般技术条款响应情况进行评审（每个序号为1项，共计8项，最高得6分）：该项所有响应为“正偏离”或“无偏离”的，该项得0.75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(9.0分)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质量保证方案（一） (2.0分)</w:t>
            </w:r>
          </w:p>
        </w:tc>
        <w:tc>
          <w:tcPr>
            <w:tcW w:type="dxa" w:w="5076"/>
          </w:tcPr>
          <w:p>
            <w:pPr>
              <w:pStyle w:val="null3"/>
              <w:jc w:val="left"/>
            </w:pPr>
            <w:r>
              <w:rPr/>
              <w:t>根据投标人提供的质量保证方案进行评审，方案包含以下内容： 1.产品质量保障承诺和整体方案；2.企业质量保障制度；3.设备包装保障措施；4.物流运输过程质量保障措施等，每提供1项得0.5分，最高得2分。</w:t>
            </w:r>
          </w:p>
        </w:tc>
      </w:tr>
      <w:tr>
        <w:tc>
          <w:tcPr>
            <w:tcW w:type="dxa" w:w="922"/>
            <w:gridSpan w:val="2"/>
            <w:vMerge/>
          </w:tcPr>
          <w:p/>
        </w:tc>
        <w:tc>
          <w:tcPr>
            <w:tcW w:type="dxa" w:w="2307"/>
          </w:tcPr>
          <w:p>
            <w:pPr>
              <w:pStyle w:val="null3"/>
              <w:jc w:val="left"/>
            </w:pPr>
            <w:r>
              <w:rPr/>
              <w:t>质量保证方案（二） (9.0分)</w:t>
            </w:r>
          </w:p>
        </w:tc>
        <w:tc>
          <w:tcPr>
            <w:tcW w:type="dxa" w:w="5076"/>
          </w:tcPr>
          <w:p>
            <w:pPr>
              <w:pStyle w:val="null3"/>
              <w:jc w:val="left"/>
            </w:pPr>
            <w:r>
              <w:rPr/>
              <w:t>根据投标人提供的1.产品质量保障承诺和整体方案；2.企业质量保障制度；3.设备包装保障措施；4.物流运输过程质量保障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(9.0分)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(9.0分)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每1项完全满足得2.25分，比较满足得1.5分，基本满足得1分，部分满足得0.5分，不满足或未提供方案得0分。 注：本项最高得9分。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rPr>
          <w:sz w:val="27"/>
          <w:b/>
        </w:rPr>
        <w:t>（</w:t>
      </w:r>
      <w:r>
        <w:rPr>
          <w:sz w:val="27"/>
          <w:b/>
        </w:rPr>
        <w:t>以下合同文本主要条款根据广东省政府采购合同标准文本初拟，最终的采购合同根据招标文件和中标人的投标文件响应内容拟定，并经法律顾问审定后的合同文本为准。</w:t>
      </w:r>
      <w:r>
        <w:rPr>
          <w:sz w:val="27"/>
          <w:b/>
        </w:rPr>
        <w:t>）</w:t>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jc w:val="both"/>
      </w:pPr>
      <w:r>
        <w:rPr>
          <w:sz w:val="27"/>
          <w:b/>
        </w:rPr>
        <w:t>一、货物内容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38"/>
        <w:gridCol w:w="3164"/>
        <w:gridCol w:w="764"/>
        <w:gridCol w:w="688"/>
        <w:gridCol w:w="776"/>
        <w:gridCol w:w="999"/>
        <w:gridCol w:w="1175"/>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名称</w:t>
            </w:r>
          </w:p>
        </w:tc>
        <w:tc>
          <w:tcPr>
            <w:tcW w:type="dxa" w:w="3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品牌、规格、标准</w:t>
            </w:r>
            <w:r>
              <w:rPr>
                <w:sz w:val="27"/>
              </w:rPr>
              <w:t>/主要服务内容</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产地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数量</w:t>
            </w:r>
          </w:p>
        </w:tc>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单位</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金额（元）</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2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合计：人民币大写：</w:t>
            </w:r>
            <w:r>
              <w:rPr>
                <w:sz w:val="27"/>
              </w:rPr>
              <w:t>**元整</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r>
              <w:rPr>
                <w:sz w:val="27"/>
              </w:rPr>
              <w:t>**</w:t>
            </w:r>
          </w:p>
        </w:tc>
      </w:tr>
    </w:tbl>
    <w:p>
      <w:pPr>
        <w:pStyle w:val="null3"/>
        <w:ind w:firstLine="400"/>
        <w:jc w:val="both"/>
      </w:pPr>
      <w:r>
        <w:rPr>
          <w:sz w:val="27"/>
        </w:rPr>
        <w:t>注：货物名称内容必须与投标文件中货物名称内容一致。</w:t>
      </w:r>
    </w:p>
    <w:p>
      <w:pPr>
        <w:pStyle w:val="null3"/>
        <w:jc w:val="both"/>
      </w:pPr>
      <w:r>
        <w:rPr>
          <w:sz w:val="27"/>
          <w:b/>
        </w:rPr>
        <w:t>二、合同金额</w:t>
      </w:r>
    </w:p>
    <w:p>
      <w:pPr>
        <w:pStyle w:val="null3"/>
        <w:ind w:firstLine="540"/>
        <w:jc w:val="both"/>
      </w:pPr>
      <w:r>
        <w:rPr>
          <w:sz w:val="27"/>
        </w:rPr>
        <w:t>合同金额为（大写）：</w:t>
      </w:r>
      <w:r>
        <w:rPr>
          <w:sz w:val="27"/>
        </w:rPr>
        <w:t>_________________元（￥_______________元）人民币。</w:t>
      </w:r>
    </w:p>
    <w:p>
      <w:pPr>
        <w:pStyle w:val="null3"/>
        <w:jc w:val="both"/>
      </w:pPr>
      <w:r>
        <w:rPr>
          <w:sz w:val="27"/>
          <w:b/>
        </w:rPr>
        <w:t>三、设备要求</w:t>
      </w:r>
    </w:p>
    <w:p>
      <w:pPr>
        <w:pStyle w:val="null3"/>
        <w:ind w:firstLine="540"/>
        <w:jc w:val="both"/>
      </w:pPr>
      <w:r>
        <w:rPr>
          <w:sz w:val="27"/>
        </w:rPr>
        <w:t>1.乙方应提供符合国家及甲方提出的有关质量标准的产品，产品质量符合国家和行业标准要求及招标文件的要求，不得以旧货翻新充数，并按有关要求进行包装及装运。设备和设施标明规格型号、技术参数及性能指标。产品具有已注册商标的品牌，须是厂商原装、全新（出厂日期距离合同签订之日或本项目开标之日不得超过六个月）、未曾使用过的、近期生产的，整机表面无污染，无侵权行为、洁净完好、无划伤、无碰撞、无锈迹、无任何缺陷隐患，包装外观完好、无破损。设备性能参数必须真实，发现虚标参数的，取消中标资格。</w:t>
      </w:r>
    </w:p>
    <w:p>
      <w:pPr>
        <w:pStyle w:val="null3"/>
        <w:ind w:firstLine="540"/>
        <w:jc w:val="both"/>
      </w:pPr>
      <w:r>
        <w:rPr>
          <w:sz w:val="27"/>
        </w:rPr>
        <w:t>2.设备应符合中国政府颁布的产品、质量、技术、安全标准及环保标准。</w:t>
      </w:r>
    </w:p>
    <w:p>
      <w:pPr>
        <w:pStyle w:val="null3"/>
        <w:ind w:firstLine="540"/>
        <w:jc w:val="both"/>
      </w:pPr>
      <w:r>
        <w:rPr>
          <w:sz w:val="27"/>
        </w:rPr>
        <w:t>3.乙方所有货物必需提供制造商出具的出厂合格证等质量证明文件。</w:t>
      </w:r>
    </w:p>
    <w:p>
      <w:pPr>
        <w:pStyle w:val="null3"/>
        <w:ind w:firstLine="540"/>
        <w:jc w:val="both"/>
      </w:pPr>
      <w:r>
        <w:rPr>
          <w:sz w:val="27"/>
        </w:rPr>
        <w:t>4.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540"/>
        <w:jc w:val="both"/>
      </w:pPr>
      <w:r>
        <w:rPr>
          <w:sz w:val="27"/>
        </w:rPr>
        <w:t>5.乙方所提供的货物不侵犯任何第三方的专利、商标或版权。否则，乙方须承担对第三方的专利或版权的侵权责任并承担因此而发生的所有费用。</w:t>
      </w:r>
    </w:p>
    <w:p>
      <w:pPr>
        <w:pStyle w:val="null3"/>
        <w:jc w:val="both"/>
      </w:pPr>
      <w:r>
        <w:rPr>
          <w:sz w:val="27"/>
          <w:b/>
        </w:rPr>
        <w:t>四、交货要求</w:t>
      </w:r>
    </w:p>
    <w:p>
      <w:pPr>
        <w:pStyle w:val="null3"/>
        <w:ind w:firstLine="540"/>
        <w:jc w:val="both"/>
      </w:pPr>
      <w:r>
        <w:rPr>
          <w:sz w:val="27"/>
        </w:rPr>
        <w:t>1.保险要求：供货、运输、装卸、调试及验收等过程中的一切安全及保险等事项由乙方自行负责。</w:t>
      </w:r>
    </w:p>
    <w:p>
      <w:pPr>
        <w:pStyle w:val="null3"/>
        <w:ind w:firstLine="540"/>
        <w:jc w:val="both"/>
      </w:pPr>
      <w:r>
        <w:rPr>
          <w:sz w:val="27"/>
        </w:rPr>
        <w:t>2.设备到现场后，甲方只提供设备库存场所，乙方需做好防盗措施和风雨保护措施，设备的日常保管由乙方负责。</w:t>
      </w:r>
    </w:p>
    <w:p>
      <w:pPr>
        <w:pStyle w:val="null3"/>
        <w:ind w:firstLine="540"/>
        <w:jc w:val="both"/>
      </w:pPr>
      <w:r>
        <w:rPr>
          <w:sz w:val="27"/>
        </w:rPr>
        <w:t>3.设备在交付甲方使用前，应采取措施进行成品保护，保护不力造成损失的，由乙方负责赔偿。</w:t>
      </w:r>
    </w:p>
    <w:p>
      <w:pPr>
        <w:pStyle w:val="null3"/>
        <w:ind w:firstLine="540"/>
        <w:jc w:val="both"/>
      </w:pPr>
      <w:r>
        <w:rPr>
          <w:sz w:val="27"/>
        </w:rPr>
        <w:t>4.乙方应派人员在所供设备到甲方指定地点后进行到货验收。若发现任何损坏及质量问题，乙方应负责更换零件，并妥善处理至甲方满意，此工作所发生的费用应由乙方自行承担。</w:t>
      </w:r>
    </w:p>
    <w:p>
      <w:pPr>
        <w:pStyle w:val="null3"/>
        <w:ind w:firstLine="540"/>
        <w:jc w:val="both"/>
      </w:pPr>
      <w:r>
        <w:rPr>
          <w:sz w:val="27"/>
        </w:rPr>
        <w:t>5.开箱后，乙方应对其全部产品、零件、配件、用户许可证书、资料等造册登记，并与装箱单对比，如有出入应立即书面记录，由乙方解决，如影响安装则按合同有关条款处理，登记册作为验收文档之一。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7"/>
          <w:b/>
        </w:rPr>
        <w:t>五</w:t>
      </w:r>
      <w:r>
        <w:rPr>
          <w:sz w:val="27"/>
          <w:b/>
        </w:rPr>
        <w:t>、交货期、交货方式及交货地点</w:t>
      </w:r>
    </w:p>
    <w:p>
      <w:pPr>
        <w:pStyle w:val="null3"/>
        <w:ind w:firstLine="540"/>
        <w:jc w:val="both"/>
      </w:pPr>
      <w:r>
        <w:rPr>
          <w:sz w:val="27"/>
        </w:rPr>
        <w:t>1.交货期：</w:t>
      </w:r>
      <w:r>
        <w:rPr>
          <w:sz w:val="27"/>
        </w:rPr>
        <w:t>采购</w:t>
      </w:r>
      <w:r>
        <w:rPr>
          <w:sz w:val="27"/>
        </w:rPr>
        <w:t>合同签订后接到</w:t>
      </w:r>
      <w:r>
        <w:rPr>
          <w:sz w:val="27"/>
        </w:rPr>
        <w:t>甲方</w:t>
      </w:r>
      <w:r>
        <w:rPr>
          <w:sz w:val="27"/>
        </w:rPr>
        <w:t>通知之日起</w:t>
      </w:r>
      <w:r>
        <w:rPr>
          <w:sz w:val="27"/>
        </w:rPr>
        <w:t>30天内</w:t>
      </w:r>
      <w:r>
        <w:rPr>
          <w:sz w:val="27"/>
        </w:rPr>
        <w:t>交货并</w:t>
      </w:r>
      <w:r>
        <w:rPr>
          <w:sz w:val="27"/>
        </w:rPr>
        <w:t>完成安装、调试工作。</w:t>
      </w:r>
    </w:p>
    <w:p>
      <w:pPr>
        <w:pStyle w:val="null3"/>
        <w:ind w:firstLine="540"/>
        <w:jc w:val="both"/>
      </w:pPr>
      <w:r>
        <w:rPr>
          <w:sz w:val="27"/>
        </w:rPr>
        <w:t>2.交货方式：</w:t>
      </w:r>
      <w:r>
        <w:rPr>
          <w:sz w:val="32"/>
          <w:u w:val="single"/>
        </w:rPr>
        <w:t xml:space="preserve">                              </w:t>
      </w:r>
    </w:p>
    <w:p>
      <w:pPr>
        <w:pStyle w:val="null3"/>
        <w:ind w:firstLine="540"/>
        <w:jc w:val="both"/>
      </w:pPr>
      <w:r>
        <w:rPr>
          <w:sz w:val="27"/>
        </w:rPr>
        <w:t>3.交货地点：</w:t>
      </w:r>
      <w:r>
        <w:rPr>
          <w:sz w:val="27"/>
        </w:rPr>
        <w:t>汕尾市海丰县</w:t>
      </w:r>
      <w:r>
        <w:rPr>
          <w:sz w:val="27"/>
        </w:rPr>
        <w:t>甲方</w:t>
      </w:r>
      <w:r>
        <w:rPr>
          <w:sz w:val="27"/>
        </w:rPr>
        <w:t>指定地点</w:t>
      </w:r>
    </w:p>
    <w:p>
      <w:pPr>
        <w:pStyle w:val="null3"/>
        <w:jc w:val="both"/>
      </w:pPr>
      <w:r>
        <w:rPr>
          <w:sz w:val="27"/>
          <w:b/>
        </w:rPr>
        <w:t>六、履约保证金</w:t>
      </w:r>
    </w:p>
    <w:p>
      <w:pPr>
        <w:pStyle w:val="null3"/>
        <w:ind w:firstLine="540"/>
        <w:jc w:val="both"/>
      </w:pPr>
      <w:r>
        <w:rPr>
          <w:sz w:val="27"/>
        </w:rPr>
        <w:t>交纳比例：</w:t>
      </w:r>
      <w:r>
        <w:rPr>
          <w:sz w:val="27"/>
        </w:rPr>
        <w:t>5%</w:t>
      </w:r>
    </w:p>
    <w:p>
      <w:pPr>
        <w:pStyle w:val="null3"/>
        <w:ind w:firstLine="540"/>
        <w:jc w:val="both"/>
      </w:pPr>
      <w:r>
        <w:rPr>
          <w:sz w:val="27"/>
        </w:rPr>
        <w:t>缴费渠道：电子保函（保险）、支票（本票、汇票）、其他</w:t>
      </w:r>
    </w:p>
    <w:p>
      <w:pPr>
        <w:pStyle w:val="null3"/>
        <w:ind w:firstLine="540"/>
        <w:jc w:val="both"/>
      </w:pPr>
      <w:r>
        <w:rPr>
          <w:sz w:val="27"/>
        </w:rPr>
        <w:t>账号：</w:t>
      </w:r>
      <w:r>
        <w:rPr>
          <w:sz w:val="27"/>
        </w:rPr>
        <w:t>2009002009024901169</w:t>
      </w:r>
    </w:p>
    <w:p>
      <w:pPr>
        <w:pStyle w:val="null3"/>
        <w:ind w:firstLine="540"/>
        <w:jc w:val="both"/>
      </w:pPr>
      <w:r>
        <w:rPr>
          <w:sz w:val="27"/>
        </w:rPr>
        <w:t>户名：海丰县妇幼保健院</w:t>
      </w:r>
    </w:p>
    <w:p>
      <w:pPr>
        <w:pStyle w:val="null3"/>
        <w:ind w:firstLine="540"/>
        <w:jc w:val="both"/>
      </w:pPr>
      <w:r>
        <w:rPr>
          <w:sz w:val="27"/>
        </w:rPr>
        <w:t>开户行：中国工商银行海丰支行</w:t>
      </w:r>
    </w:p>
    <w:p>
      <w:pPr>
        <w:pStyle w:val="null3"/>
        <w:ind w:firstLine="540"/>
        <w:jc w:val="both"/>
      </w:pPr>
      <w:r>
        <w:rPr>
          <w:sz w:val="27"/>
        </w:rPr>
        <w:t>支票提交方式：原件提交</w:t>
      </w:r>
    </w:p>
    <w:p>
      <w:pPr>
        <w:pStyle w:val="null3"/>
        <w:ind w:firstLine="540"/>
        <w:jc w:val="both"/>
      </w:pPr>
      <w:r>
        <w:rPr>
          <w:sz w:val="27"/>
        </w:rPr>
        <w:t>汇票、本票提交方式：原件提交</w:t>
      </w:r>
    </w:p>
    <w:p>
      <w:pPr>
        <w:pStyle w:val="null3"/>
        <w:ind w:firstLine="540"/>
        <w:jc w:val="both"/>
      </w:pPr>
      <w:r>
        <w:rPr>
          <w:sz w:val="27"/>
        </w:rPr>
        <w:t>1.</w:t>
      </w:r>
      <w:r>
        <w:rPr>
          <w:sz w:val="27"/>
        </w:rPr>
        <w:t>提交说明：</w:t>
      </w:r>
    </w:p>
    <w:p>
      <w:pPr>
        <w:pStyle w:val="null3"/>
        <w:ind w:firstLine="540"/>
        <w:jc w:val="both"/>
      </w:pPr>
      <w:r>
        <w:rPr>
          <w:sz w:val="27"/>
        </w:rPr>
        <w:t>（</w:t>
      </w:r>
      <w:r>
        <w:rPr>
          <w:sz w:val="27"/>
        </w:rPr>
        <w:t>1）时间：合同签订之日起5日内；</w:t>
      </w:r>
    </w:p>
    <w:p>
      <w:pPr>
        <w:pStyle w:val="null3"/>
        <w:ind w:firstLine="540"/>
        <w:jc w:val="both"/>
      </w:pPr>
      <w:r>
        <w:rPr>
          <w:sz w:val="27"/>
        </w:rPr>
        <w:t>（</w:t>
      </w:r>
      <w:r>
        <w:rPr>
          <w:sz w:val="27"/>
        </w:rPr>
        <w:t>2）金额：合同总金额的5%；</w:t>
      </w:r>
    </w:p>
    <w:p>
      <w:pPr>
        <w:pStyle w:val="null3"/>
        <w:ind w:firstLine="540"/>
        <w:jc w:val="both"/>
      </w:pPr>
      <w:r>
        <w:rPr>
          <w:sz w:val="27"/>
        </w:rPr>
        <w:t>（</w:t>
      </w:r>
      <w:r>
        <w:rPr>
          <w:sz w:val="27"/>
        </w:rPr>
        <w:t>3）方式：可以转账、支票、汇票、本票、保函等非现金形式提交履约保证金，但采用保函形式递交履约保证金的，要求是无条件保函且保函期限必须覆盖本项目的合同履行期限。乙方逾期或未按要求提交履约保证金且经甲方督促之日起2个工作日后仍未落实的，视为乙方违约，甲方有权单方面解除合同且不须承担任何违约责任，乙方承担由此产生的一切损失。</w:t>
      </w:r>
    </w:p>
    <w:p>
      <w:pPr>
        <w:pStyle w:val="null3"/>
        <w:ind w:firstLine="540"/>
        <w:jc w:val="both"/>
      </w:pPr>
      <w:r>
        <w:rPr>
          <w:sz w:val="27"/>
        </w:rPr>
        <w:t>2.退还说明：</w:t>
      </w:r>
    </w:p>
    <w:p>
      <w:pPr>
        <w:pStyle w:val="null3"/>
        <w:ind w:firstLine="540"/>
        <w:jc w:val="both"/>
      </w:pPr>
      <w:r>
        <w:rPr>
          <w:sz w:val="27"/>
        </w:rPr>
        <w:t>（</w:t>
      </w:r>
      <w:r>
        <w:rPr>
          <w:sz w:val="27"/>
        </w:rPr>
        <w:t>1）时间、方式和条件：乙方履行完成合同约定权利义务事项在合同期满之日起30天内退还或在合同期满之日起30天内失效，不计利息，甲方逾期退还的按民法典（合同编）相关规定处理；（以保函形式递交的，甲方有权根据项目的实施进度情况要求乙方延长原履约保函有效期，甲方需在保函截止之日前30天向乙方书面通知延长保函，乙方需在收到甲方书面通知之日起7个工作日内办理，并在原保函截止之日前5个工作日交付甲方，逾期按未履行视乙方违约，甲方有权不予退还履约保函并向银行索偿）。</w:t>
      </w:r>
    </w:p>
    <w:p>
      <w:pPr>
        <w:pStyle w:val="null3"/>
        <w:ind w:firstLine="540"/>
        <w:jc w:val="both"/>
      </w:pPr>
      <w:r>
        <w:rPr>
          <w:sz w:val="27"/>
        </w:rPr>
        <w:t>（</w:t>
      </w:r>
      <w:r>
        <w:rPr>
          <w:sz w:val="27"/>
        </w:rPr>
        <w:t>2）不予退还情形：乙方违反合同及其附件约定的任何义务，甲方有权在履约保证金中直接扣除乙方应向甲方支付的违约金或损失赔偿额，如有不足的，乙方应对超过的部分予以赔偿。</w:t>
      </w:r>
    </w:p>
    <w:p>
      <w:pPr>
        <w:pStyle w:val="null3"/>
        <w:jc w:val="both"/>
      </w:pPr>
      <w:r>
        <w:rPr>
          <w:sz w:val="27"/>
          <w:b/>
        </w:rPr>
        <w:t>七</w:t>
      </w:r>
      <w:r>
        <w:rPr>
          <w:sz w:val="27"/>
          <w:b/>
        </w:rPr>
        <w:t>、付款方式</w:t>
      </w:r>
    </w:p>
    <w:p>
      <w:pPr>
        <w:pStyle w:val="null3"/>
        <w:ind w:firstLine="540"/>
        <w:jc w:val="both"/>
      </w:pPr>
      <w:r>
        <w:rPr>
          <w:sz w:val="27"/>
        </w:rPr>
        <w:t>第</w:t>
      </w:r>
      <w:r>
        <w:rPr>
          <w:sz w:val="27"/>
        </w:rPr>
        <w:t>1期</w:t>
      </w:r>
      <w:r>
        <w:rPr>
          <w:sz w:val="27"/>
        </w:rPr>
        <w:t>为</w:t>
      </w:r>
      <w:r>
        <w:rPr>
          <w:sz w:val="27"/>
        </w:rPr>
        <w:t>（</w:t>
      </w:r>
      <w:r>
        <w:rPr>
          <w:sz w:val="27"/>
        </w:rPr>
        <w:t>预付款</w:t>
      </w:r>
      <w:r>
        <w:rPr>
          <w:sz w:val="27"/>
        </w:rPr>
        <w:t>）</w:t>
      </w:r>
      <w:r>
        <w:rPr>
          <w:sz w:val="27"/>
        </w:rPr>
        <w:t>：支付比例</w:t>
      </w:r>
      <w:r>
        <w:rPr>
          <w:sz w:val="27"/>
        </w:rPr>
        <w:t>30%</w:t>
      </w:r>
      <w:r>
        <w:rPr>
          <w:sz w:val="27"/>
        </w:rPr>
        <w:t>，</w:t>
      </w:r>
      <w:r>
        <w:rPr>
          <w:sz w:val="27"/>
        </w:rPr>
        <w:t>自合同签订之日起</w:t>
      </w:r>
      <w:r>
        <w:rPr>
          <w:sz w:val="27"/>
        </w:rPr>
        <w:t>30天内</w:t>
      </w:r>
      <w:r>
        <w:rPr>
          <w:sz w:val="27"/>
        </w:rPr>
        <w:t>甲方</w:t>
      </w:r>
      <w:r>
        <w:rPr>
          <w:sz w:val="27"/>
        </w:rPr>
        <w:t>向</w:t>
      </w:r>
      <w:r>
        <w:rPr>
          <w:sz w:val="27"/>
        </w:rPr>
        <w:t>乙方</w:t>
      </w:r>
      <w:r>
        <w:rPr>
          <w:sz w:val="27"/>
        </w:rPr>
        <w:t>支付合同总价的</w:t>
      </w:r>
      <w:r>
        <w:rPr>
          <w:sz w:val="27"/>
        </w:rPr>
        <w:t>30%；</w:t>
      </w:r>
    </w:p>
    <w:p>
      <w:pPr>
        <w:pStyle w:val="null3"/>
        <w:ind w:firstLine="540"/>
        <w:jc w:val="both"/>
      </w:pPr>
      <w:r>
        <w:rPr>
          <w:sz w:val="27"/>
        </w:rPr>
        <w:t>第</w:t>
      </w:r>
      <w:r>
        <w:rPr>
          <w:sz w:val="27"/>
        </w:rPr>
        <w:t>2</w:t>
      </w:r>
      <w:r>
        <w:rPr>
          <w:sz w:val="27"/>
        </w:rPr>
        <w:t>期</w:t>
      </w:r>
      <w:r>
        <w:rPr>
          <w:sz w:val="27"/>
        </w:rPr>
        <w:t>为（尾款）：</w:t>
      </w:r>
      <w:r>
        <w:rPr>
          <w:sz w:val="27"/>
        </w:rPr>
        <w:t>支付比例</w:t>
      </w:r>
      <w:r>
        <w:rPr>
          <w:sz w:val="27"/>
        </w:rPr>
        <w:t>70</w:t>
      </w:r>
      <w:r>
        <w:rPr>
          <w:sz w:val="27"/>
        </w:rPr>
        <w:t>%</w:t>
      </w:r>
      <w:r>
        <w:rPr>
          <w:sz w:val="27"/>
        </w:rPr>
        <w:t>，</w:t>
      </w:r>
      <w:r>
        <w:rPr>
          <w:sz w:val="27"/>
        </w:rPr>
        <w:t>验收合格后设备正常运行</w:t>
      </w:r>
      <w:r>
        <w:rPr>
          <w:sz w:val="27"/>
        </w:rPr>
        <w:t>1个月</w:t>
      </w:r>
      <w:r>
        <w:rPr>
          <w:sz w:val="27"/>
        </w:rPr>
        <w:t>之日起，</w:t>
      </w:r>
      <w:r>
        <w:rPr>
          <w:sz w:val="27"/>
        </w:rPr>
        <w:t>30天内</w:t>
      </w:r>
      <w:r>
        <w:rPr>
          <w:sz w:val="27"/>
        </w:rPr>
        <w:t>甲方</w:t>
      </w:r>
      <w:r>
        <w:rPr>
          <w:sz w:val="27"/>
        </w:rPr>
        <w:t>向</w:t>
      </w:r>
      <w:r>
        <w:rPr>
          <w:sz w:val="27"/>
        </w:rPr>
        <w:t>乙方</w:t>
      </w:r>
      <w:r>
        <w:rPr>
          <w:sz w:val="27"/>
        </w:rPr>
        <w:t>支付合同总价的</w:t>
      </w:r>
      <w:r>
        <w:rPr>
          <w:sz w:val="27"/>
        </w:rPr>
        <w:t>70</w:t>
      </w:r>
      <w:r>
        <w:rPr>
          <w:sz w:val="27"/>
        </w:rPr>
        <w:t>%。</w:t>
      </w:r>
    </w:p>
    <w:p>
      <w:pPr>
        <w:pStyle w:val="null3"/>
        <w:ind w:firstLine="540"/>
        <w:jc w:val="both"/>
      </w:pPr>
      <w:r>
        <w:rPr>
          <w:sz w:val="27"/>
        </w:rPr>
        <w:t>（注：</w:t>
      </w:r>
      <w:r>
        <w:rPr>
          <w:sz w:val="27"/>
        </w:rPr>
        <w:t>①每次按合同支付款项前，</w:t>
      </w:r>
      <w:r>
        <w:rPr>
          <w:sz w:val="27"/>
        </w:rPr>
        <w:t>乙方</w:t>
      </w:r>
      <w:r>
        <w:rPr>
          <w:sz w:val="27"/>
        </w:rPr>
        <w:t>向</w:t>
      </w:r>
      <w:r>
        <w:rPr>
          <w:sz w:val="27"/>
        </w:rPr>
        <w:t>甲方</w:t>
      </w:r>
      <w:r>
        <w:rPr>
          <w:sz w:val="27"/>
        </w:rPr>
        <w:t>提供与支付金额相符的有效发票，且收款方、出具发票方、合同乙方均必须与</w:t>
      </w:r>
      <w:r>
        <w:rPr>
          <w:sz w:val="27"/>
        </w:rPr>
        <w:t>乙方</w:t>
      </w:r>
      <w:r>
        <w:rPr>
          <w:sz w:val="27"/>
        </w:rPr>
        <w:t>名称一致；</w:t>
      </w:r>
      <w:r>
        <w:rPr>
          <w:sz w:val="27"/>
        </w:rPr>
        <w:t>②付款时间以</w:t>
      </w:r>
      <w:r>
        <w:rPr>
          <w:sz w:val="27"/>
        </w:rPr>
        <w:t>甲方</w:t>
      </w:r>
      <w:r>
        <w:rPr>
          <w:sz w:val="27"/>
        </w:rPr>
        <w:t>向财政部门提交支付申请的时间为准</w:t>
      </w:r>
      <w:r>
        <w:rPr>
          <w:sz w:val="27"/>
        </w:rPr>
        <w:t>，若</w:t>
      </w:r>
      <w:r>
        <w:rPr>
          <w:sz w:val="27"/>
        </w:rPr>
        <w:t>因财政部门内部支付流程导致的支付延期，不得作为</w:t>
      </w:r>
      <w:r>
        <w:rPr>
          <w:sz w:val="27"/>
        </w:rPr>
        <w:t>乙方</w:t>
      </w:r>
      <w:r>
        <w:rPr>
          <w:sz w:val="27"/>
        </w:rPr>
        <w:t>延迟履行或不履行合同义务的抗辩依据。）</w:t>
      </w:r>
    </w:p>
    <w:p>
      <w:pPr>
        <w:pStyle w:val="null3"/>
        <w:jc w:val="both"/>
      </w:pPr>
      <w:r>
        <w:rPr>
          <w:sz w:val="27"/>
          <w:b/>
        </w:rPr>
        <w:t>八、质保服务要求</w:t>
      </w:r>
    </w:p>
    <w:p>
      <w:pPr>
        <w:pStyle w:val="null3"/>
        <w:ind w:firstLine="540"/>
        <w:jc w:val="both"/>
      </w:pPr>
      <w:r>
        <w:rPr>
          <w:sz w:val="27"/>
        </w:rPr>
        <w:t>1.乙方所提供的所有设备提供原厂整机质保期:≥</w:t>
      </w:r>
      <w:r>
        <w:rPr>
          <w:sz w:val="32"/>
          <w:u w:val="single"/>
        </w:rPr>
        <w:t xml:space="preserve"> </w:t>
      </w:r>
      <w:r>
        <w:rPr>
          <w:sz w:val="27"/>
          <w:u w:val="single"/>
        </w:rPr>
        <w:t>5</w:t>
      </w:r>
      <w:r>
        <w:rPr>
          <w:sz w:val="32"/>
          <w:u w:val="single"/>
        </w:rPr>
        <w:t xml:space="preserve"> </w:t>
      </w:r>
      <w:r>
        <w:rPr>
          <w:sz w:val="27"/>
        </w:rPr>
        <w:t>年</w:t>
      </w:r>
      <w:r>
        <w:rPr>
          <w:sz w:val="27"/>
        </w:rPr>
        <w:t>(含第三方产品），从双方签字验收合格之日起算质保期，若国家、行业标准或售后承诺函质保期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投标报价中。</w:t>
      </w:r>
    </w:p>
    <w:p>
      <w:pPr>
        <w:pStyle w:val="null3"/>
        <w:ind w:firstLine="540"/>
        <w:jc w:val="both"/>
      </w:pPr>
      <w:r>
        <w:rPr>
          <w:sz w:val="27"/>
        </w:rPr>
        <w:t>2.</w:t>
      </w:r>
      <w:r>
        <w:rPr>
          <w:sz w:val="27"/>
        </w:rPr>
        <w:t>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相应顺延，延误一天按三天补偿。如停用时间累计超过</w:t>
      </w:r>
      <w:r>
        <w:rPr>
          <w:sz w:val="27"/>
        </w:rPr>
        <w:t>15天则质保期重新计算，情节严重的，甲方有权单方面解除本合同，并有权追究乙方责任。</w:t>
      </w:r>
    </w:p>
    <w:p>
      <w:pPr>
        <w:pStyle w:val="null3"/>
        <w:ind w:firstLine="540"/>
        <w:jc w:val="both"/>
      </w:pPr>
      <w:r>
        <w:rPr>
          <w:sz w:val="27"/>
        </w:rPr>
        <w:t>3.在质保期内对甲方的服务通知，乙方在接报后2小时内响应，12小时内到达现场，24小时内处理完毕，并制作到现场处理完毕后的工作报告，工作报告一式二份，由双方签字或盖章。如果设备的故障在检修24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540"/>
        <w:jc w:val="both"/>
      </w:pPr>
      <w:r>
        <w:rPr>
          <w:sz w:val="27"/>
        </w:rPr>
        <w:t>4.</w:t>
      </w:r>
      <w:r>
        <w:rPr>
          <w:sz w:val="27"/>
        </w:rPr>
        <w:t>在质保期内，如货物同一故障经乙方</w:t>
      </w:r>
      <w:r>
        <w:rPr>
          <w:sz w:val="27"/>
        </w:rPr>
        <w:t>3次维修仍不能达到甲方使用的质量标准，甲方有权退货，并视作乙方不能交付货物而须支付违约赔偿金给甲方，甲方还可依法追究乙方的违约责任。</w:t>
      </w:r>
    </w:p>
    <w:p>
      <w:pPr>
        <w:pStyle w:val="null3"/>
        <w:ind w:firstLine="540"/>
        <w:jc w:val="both"/>
      </w:pPr>
      <w:r>
        <w:rPr>
          <w:sz w:val="27"/>
        </w:rPr>
        <w:t>5.设备安装完成之日起7个日历日内，乙方对甲方的操作人员和维护人员就仪器设备的维护、使用及开发等方面进行现场培训，使甲方受训人员掌握原理、操作、维修保养技术，直至其能熟练操作为止，相关费用已包含在投标报价中。</w:t>
      </w:r>
    </w:p>
    <w:p>
      <w:pPr>
        <w:pStyle w:val="null3"/>
        <w:ind w:firstLine="540"/>
        <w:jc w:val="both"/>
      </w:pPr>
      <w:r>
        <w:rPr>
          <w:sz w:val="27"/>
        </w:rPr>
        <w:t>6.质保期满后，在备件停止生产的情况下，乙方应事先将要停止生产的计划通知甲方，使甲方有足够的时间采购所需备件；在备件停止生产后，乙方应向甲方提供备件的图纸、资料，相关费用已包含在投标报价中。</w:t>
      </w:r>
    </w:p>
    <w:p>
      <w:pPr>
        <w:pStyle w:val="null3"/>
        <w:ind w:firstLine="540"/>
        <w:jc w:val="both"/>
      </w:pPr>
      <w:r>
        <w:rPr>
          <w:sz w:val="27"/>
        </w:rPr>
        <w:t>7.乙方须指派专人负责与甲方联系售后服务事宜。</w:t>
      </w:r>
    </w:p>
    <w:p>
      <w:pPr>
        <w:pStyle w:val="null3"/>
        <w:jc w:val="both"/>
      </w:pPr>
      <w:r>
        <w:rPr>
          <w:sz w:val="27"/>
          <w:b/>
        </w:rPr>
        <w:t>九、</w:t>
      </w:r>
      <w:r>
        <w:rPr>
          <w:sz w:val="27"/>
          <w:b/>
        </w:rPr>
        <w:t>安装条款、调试、保养服务条款</w:t>
      </w:r>
    </w:p>
    <w:p>
      <w:pPr>
        <w:pStyle w:val="null3"/>
        <w:ind w:firstLine="540"/>
        <w:jc w:val="both"/>
      </w:pPr>
      <w:r>
        <w:rPr>
          <w:sz w:val="27"/>
        </w:rPr>
        <w:t>1.本招标文件所列所有设备、产品在合同签约后按约定时间内全部安装、调试完毕。</w:t>
      </w:r>
    </w:p>
    <w:p>
      <w:pPr>
        <w:pStyle w:val="null3"/>
        <w:ind w:firstLine="540"/>
        <w:jc w:val="both"/>
      </w:pPr>
      <w:r>
        <w:rPr>
          <w:sz w:val="27"/>
        </w:rPr>
        <w:t>2.所有含电源线的设备符合国家安全规范，电源线应得到足够保护和位置固定，有相关防漏电的措施。</w:t>
      </w:r>
    </w:p>
    <w:p>
      <w:pPr>
        <w:pStyle w:val="null3"/>
        <w:ind w:firstLine="540"/>
        <w:jc w:val="both"/>
      </w:pPr>
      <w:r>
        <w:rPr>
          <w:sz w:val="27"/>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540"/>
        <w:jc w:val="both"/>
      </w:pPr>
      <w:r>
        <w:rPr>
          <w:sz w:val="27"/>
        </w:rPr>
        <w:t>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w:t>
      </w:r>
    </w:p>
    <w:p>
      <w:pPr>
        <w:pStyle w:val="null3"/>
        <w:ind w:firstLine="540"/>
        <w:jc w:val="both"/>
      </w:pPr>
      <w:r>
        <w:rPr>
          <w:sz w:val="27"/>
        </w:rPr>
        <w:t>5.乙方应在签订合同之日起5个日历日内与甲方对接，并向甲方提出产品安装、调试应准备的条件。设备到货后应派出有经验的工程技术人员到现场进行安装，甲方给予相应的配合。</w:t>
      </w:r>
    </w:p>
    <w:p>
      <w:pPr>
        <w:pStyle w:val="null3"/>
        <w:ind w:firstLine="540"/>
        <w:jc w:val="both"/>
      </w:pPr>
      <w:r>
        <w:rPr>
          <w:sz w:val="27"/>
        </w:rPr>
        <w:t>6.乙方（或产品制造商）根据现场情况、招标文件的要求和投标文件的承诺及有关国家技术标准、规范进行安装并调试至正常运行的最佳状态。</w:t>
      </w:r>
    </w:p>
    <w:p>
      <w:pPr>
        <w:pStyle w:val="null3"/>
        <w:ind w:firstLine="540"/>
        <w:jc w:val="both"/>
      </w:pPr>
      <w:r>
        <w:rPr>
          <w:sz w:val="27"/>
        </w:rPr>
        <w:t>7.安装过程中，若出现破坏管道、线路、桩柱、地面、墙面等设施现象，乙方要给予修复。完成安装后，乙方需负责清理安装过程中货物的外包装和搞好场地清洁卫生。</w:t>
      </w:r>
    </w:p>
    <w:p>
      <w:pPr>
        <w:pStyle w:val="null3"/>
        <w:ind w:firstLine="540"/>
        <w:jc w:val="both"/>
      </w:pPr>
      <w:r>
        <w:rPr>
          <w:sz w:val="27"/>
        </w:rPr>
        <w:t>8.在安装过程发现的供货及其质量问题，乙方也要负责补救处理。</w:t>
      </w:r>
    </w:p>
    <w:p>
      <w:pPr>
        <w:pStyle w:val="null3"/>
        <w:jc w:val="both"/>
      </w:pPr>
      <w:r>
        <w:rPr>
          <w:sz w:val="27"/>
          <w:b/>
        </w:rPr>
        <w:t>十</w:t>
      </w:r>
      <w:r>
        <w:rPr>
          <w:sz w:val="27"/>
          <w:b/>
        </w:rPr>
        <w:t>、验收</w:t>
      </w:r>
      <w:r>
        <w:rPr>
          <w:sz w:val="27"/>
          <w:b/>
        </w:rPr>
        <w:t>要求</w:t>
      </w:r>
      <w:r>
        <w:rPr>
          <w:sz w:val="27"/>
          <w:b/>
        </w:rPr>
        <w:t>：</w:t>
      </w:r>
    </w:p>
    <w:p>
      <w:pPr>
        <w:pStyle w:val="null3"/>
        <w:ind w:firstLine="540"/>
        <w:jc w:val="both"/>
      </w:pPr>
      <w:r>
        <w:rPr>
          <w:sz w:val="27"/>
        </w:rPr>
        <w:t>1.</w:t>
      </w:r>
      <w:r>
        <w:rPr>
          <w:sz w:val="27"/>
        </w:rPr>
        <w:t>履约验收主体：</w:t>
      </w:r>
      <w:r>
        <w:rPr>
          <w:sz w:val="27"/>
        </w:rPr>
        <w:t>甲方</w:t>
      </w:r>
      <w:r>
        <w:rPr>
          <w:sz w:val="27"/>
        </w:rPr>
        <w:t>组织的验收小组（上级或监督管理部门有相关规定的按规定执行）</w:t>
      </w:r>
    </w:p>
    <w:p>
      <w:pPr>
        <w:pStyle w:val="null3"/>
        <w:ind w:firstLine="540"/>
        <w:jc w:val="both"/>
      </w:pPr>
      <w:r>
        <w:rPr>
          <w:sz w:val="27"/>
        </w:rPr>
        <w:t>2.履约验收时间：全部设备到货、安装调试完毕及人员培训后，10个工作日内进行验收。</w:t>
      </w:r>
    </w:p>
    <w:p>
      <w:pPr>
        <w:pStyle w:val="null3"/>
        <w:ind w:firstLine="540"/>
        <w:jc w:val="both"/>
      </w:pPr>
      <w:r>
        <w:rPr>
          <w:sz w:val="27"/>
        </w:rPr>
        <w:t>3.履约验收方式：由</w:t>
      </w:r>
      <w:r>
        <w:rPr>
          <w:sz w:val="27"/>
        </w:rPr>
        <w:t>甲方</w:t>
      </w:r>
      <w:r>
        <w:rPr>
          <w:sz w:val="27"/>
        </w:rPr>
        <w:t>组织验收小组对本项目全部货物进行评估验收。</w:t>
      </w:r>
    </w:p>
    <w:p>
      <w:pPr>
        <w:pStyle w:val="null3"/>
        <w:ind w:firstLine="540"/>
        <w:jc w:val="both"/>
      </w:pPr>
      <w:r>
        <w:rPr>
          <w:sz w:val="27"/>
        </w:rPr>
        <w:t>4.履约验收程序：</w:t>
      </w:r>
    </w:p>
    <w:p>
      <w:pPr>
        <w:pStyle w:val="null3"/>
        <w:ind w:firstLine="540"/>
        <w:jc w:val="both"/>
      </w:pPr>
      <w:r>
        <w:rPr>
          <w:sz w:val="27"/>
        </w:rPr>
        <w:t>①全部设备到货、安装调试完毕后，</w:t>
      </w:r>
      <w:r>
        <w:rPr>
          <w:sz w:val="27"/>
        </w:rPr>
        <w:t>乙方</w:t>
      </w:r>
      <w:r>
        <w:rPr>
          <w:sz w:val="27"/>
        </w:rPr>
        <w:t>向</w:t>
      </w:r>
      <w:r>
        <w:rPr>
          <w:sz w:val="27"/>
        </w:rPr>
        <w:t>甲方</w:t>
      </w:r>
      <w:r>
        <w:rPr>
          <w:sz w:val="27"/>
        </w:rPr>
        <w:t>提交验收申请报告；</w:t>
      </w:r>
    </w:p>
    <w:p>
      <w:pPr>
        <w:pStyle w:val="null3"/>
        <w:ind w:firstLine="540"/>
        <w:jc w:val="both"/>
      </w:pPr>
      <w:r>
        <w:rPr>
          <w:sz w:val="27"/>
        </w:rPr>
        <w:t>②</w:t>
      </w:r>
      <w:r>
        <w:rPr>
          <w:sz w:val="27"/>
        </w:rPr>
        <w:t>甲方</w:t>
      </w:r>
      <w:r>
        <w:rPr>
          <w:sz w:val="27"/>
        </w:rPr>
        <w:t>应当自收到验收申请报告之日起</w:t>
      </w:r>
      <w:r>
        <w:rPr>
          <w:sz w:val="27"/>
        </w:rPr>
        <w:t>10个工作日内组织验收工作，验收在</w:t>
      </w:r>
      <w:r>
        <w:rPr>
          <w:sz w:val="27"/>
        </w:rPr>
        <w:t>甲方</w:t>
      </w:r>
      <w:r>
        <w:rPr>
          <w:sz w:val="27"/>
        </w:rPr>
        <w:t>和</w:t>
      </w:r>
      <w:r>
        <w:rPr>
          <w:sz w:val="27"/>
        </w:rPr>
        <w:t>乙方</w:t>
      </w:r>
      <w:r>
        <w:rPr>
          <w:sz w:val="27"/>
        </w:rPr>
        <w:t>双方共同参与下按国家有关的规定、规范进行，必要时邀请相关的专业人员或机构参与验收。因货物质量问题发生争议时，由本地质量技术监督部门鉴定。货物符合质量技术标准的，鉴定费由</w:t>
      </w:r>
      <w:r>
        <w:rPr>
          <w:sz w:val="27"/>
        </w:rPr>
        <w:t>甲方</w:t>
      </w:r>
      <w:r>
        <w:rPr>
          <w:sz w:val="27"/>
        </w:rPr>
        <w:t>承担；否则鉴定费由</w:t>
      </w:r>
      <w:r>
        <w:rPr>
          <w:sz w:val="27"/>
        </w:rPr>
        <w:t>乙方</w:t>
      </w:r>
      <w:r>
        <w:rPr>
          <w:sz w:val="27"/>
        </w:rPr>
        <w:t>承担；</w:t>
      </w:r>
    </w:p>
    <w:p>
      <w:pPr>
        <w:pStyle w:val="null3"/>
        <w:ind w:firstLine="540"/>
        <w:jc w:val="both"/>
      </w:pPr>
      <w:r>
        <w:rPr>
          <w:sz w:val="27"/>
        </w:rPr>
        <w:t>③验收时如发现所交付的设备有短装、次品、损坏或其他不符合本合同规定之情形者，</w:t>
      </w:r>
      <w:r>
        <w:rPr>
          <w:sz w:val="27"/>
        </w:rPr>
        <w:t>甲方</w:t>
      </w:r>
      <w:r>
        <w:rPr>
          <w:sz w:val="27"/>
        </w:rPr>
        <w:t>应做出详尽的现场记录，或由</w:t>
      </w:r>
      <w:r>
        <w:rPr>
          <w:sz w:val="27"/>
        </w:rPr>
        <w:t>甲方</w:t>
      </w:r>
      <w:r>
        <w:rPr>
          <w:sz w:val="27"/>
        </w:rPr>
        <w:t>、</w:t>
      </w:r>
      <w:r>
        <w:rPr>
          <w:sz w:val="27"/>
        </w:rPr>
        <w:t>乙方</w:t>
      </w:r>
      <w:r>
        <w:rPr>
          <w:sz w:val="27"/>
        </w:rPr>
        <w:t>双方签署备忘录。此现场记录或备忘录可用作补充、缺失和更换损坏部件的有效证据。因此产生的有关费用由</w:t>
      </w:r>
      <w:r>
        <w:rPr>
          <w:sz w:val="27"/>
        </w:rPr>
        <w:t>乙方</w:t>
      </w:r>
      <w:r>
        <w:rPr>
          <w:sz w:val="27"/>
        </w:rPr>
        <w:t>承担；</w:t>
      </w:r>
    </w:p>
    <w:p>
      <w:pPr>
        <w:pStyle w:val="null3"/>
        <w:ind w:firstLine="540"/>
        <w:jc w:val="both"/>
      </w:pPr>
      <w:r>
        <w:rPr>
          <w:sz w:val="27"/>
        </w:rPr>
        <w:t>④如果合同设备运输和安装过程中因事故造成货物短缺、损坏，</w:t>
      </w:r>
      <w:r>
        <w:rPr>
          <w:sz w:val="27"/>
        </w:rPr>
        <w:t>乙方</w:t>
      </w:r>
      <w:r>
        <w:rPr>
          <w:sz w:val="27"/>
        </w:rPr>
        <w:t>应及时安排补货、换货，以保证合同设备安装的成功完成。换货的相关费用由</w:t>
      </w:r>
      <w:r>
        <w:rPr>
          <w:sz w:val="27"/>
        </w:rPr>
        <w:t>乙方</w:t>
      </w:r>
      <w:r>
        <w:rPr>
          <w:sz w:val="27"/>
        </w:rPr>
        <w:t>承担；</w:t>
      </w:r>
    </w:p>
    <w:p>
      <w:pPr>
        <w:pStyle w:val="null3"/>
        <w:ind w:firstLine="540"/>
        <w:jc w:val="both"/>
      </w:pPr>
      <w:r>
        <w:rPr>
          <w:sz w:val="27"/>
        </w:rPr>
        <w:t>⑤</w:t>
      </w:r>
      <w:r>
        <w:rPr>
          <w:sz w:val="27"/>
        </w:rPr>
        <w:t>乙方</w:t>
      </w:r>
      <w:r>
        <w:rPr>
          <w:sz w:val="27"/>
        </w:rPr>
        <w:t>保证合同项下提供的设备不侵犯任何第三方的专利、商标或版权。否则，</w:t>
      </w:r>
      <w:r>
        <w:rPr>
          <w:sz w:val="27"/>
        </w:rPr>
        <w:t>乙方</w:t>
      </w:r>
      <w:r>
        <w:rPr>
          <w:sz w:val="27"/>
        </w:rPr>
        <w:t>需承担对第三方的专利或版权的侵权责任并承担因此而发生的所有费用；</w:t>
      </w:r>
    </w:p>
    <w:p>
      <w:pPr>
        <w:pStyle w:val="null3"/>
        <w:ind w:firstLine="540"/>
        <w:jc w:val="both"/>
      </w:pPr>
      <w:r>
        <w:rPr>
          <w:sz w:val="27"/>
        </w:rPr>
        <w:t>⑥</w:t>
      </w:r>
      <w:r>
        <w:rPr>
          <w:sz w:val="27"/>
        </w:rPr>
        <w:t>甲方</w:t>
      </w:r>
      <w:r>
        <w:rPr>
          <w:sz w:val="27"/>
        </w:rPr>
        <w:t>应当出具验收书，验收人员应在验收书上签字；</w:t>
      </w:r>
    </w:p>
    <w:p>
      <w:pPr>
        <w:pStyle w:val="null3"/>
        <w:ind w:firstLine="540"/>
        <w:jc w:val="both"/>
      </w:pPr>
      <w:r>
        <w:rPr>
          <w:sz w:val="27"/>
        </w:rPr>
        <w:t>⑦如验收不通过，</w:t>
      </w:r>
      <w:r>
        <w:rPr>
          <w:sz w:val="27"/>
        </w:rPr>
        <w:t>甲方</w:t>
      </w:r>
      <w:r>
        <w:rPr>
          <w:sz w:val="27"/>
        </w:rPr>
        <w:t>出具的验收书上应明确</w:t>
      </w:r>
      <w:r>
        <w:rPr>
          <w:sz w:val="27"/>
        </w:rPr>
        <w:t>乙方</w:t>
      </w:r>
      <w:r>
        <w:rPr>
          <w:sz w:val="27"/>
        </w:rPr>
        <w:t>需整改、完善的内容。</w:t>
      </w:r>
    </w:p>
    <w:p>
      <w:pPr>
        <w:pStyle w:val="null3"/>
        <w:ind w:firstLine="540"/>
        <w:jc w:val="both"/>
      </w:pPr>
      <w:r>
        <w:rPr>
          <w:sz w:val="27"/>
        </w:rPr>
        <w:t>5.履约验收内容：</w:t>
      </w:r>
    </w:p>
    <w:p>
      <w:pPr>
        <w:pStyle w:val="null3"/>
        <w:ind w:firstLine="540"/>
        <w:jc w:val="both"/>
      </w:pPr>
      <w:r>
        <w:rPr>
          <w:sz w:val="27"/>
        </w:rPr>
        <w:t>①</w:t>
      </w:r>
      <w:r>
        <w:rPr>
          <w:sz w:val="27"/>
        </w:rPr>
        <w:t>招标</w:t>
      </w:r>
      <w:r>
        <w:rPr>
          <w:sz w:val="27"/>
        </w:rPr>
        <w:t>文件技术要求履约情况证明资料：本项目全部设备技术资料；</w:t>
      </w:r>
    </w:p>
    <w:p>
      <w:pPr>
        <w:pStyle w:val="null3"/>
        <w:ind w:firstLine="540"/>
        <w:jc w:val="both"/>
      </w:pPr>
      <w:r>
        <w:rPr>
          <w:sz w:val="27"/>
        </w:rPr>
        <w:t>②</w:t>
      </w:r>
      <w:r>
        <w:rPr>
          <w:sz w:val="27"/>
        </w:rPr>
        <w:t>招标</w:t>
      </w:r>
      <w:r>
        <w:rPr>
          <w:sz w:val="27"/>
        </w:rPr>
        <w:t>文件商务要求履约情况资料：质保期证明资料、售后服务人员投入证明资料、培训证明资料等</w:t>
      </w:r>
      <w:r>
        <w:rPr>
          <w:sz w:val="27"/>
        </w:rPr>
        <w:t>。</w:t>
      </w:r>
    </w:p>
    <w:p>
      <w:pPr>
        <w:pStyle w:val="null3"/>
        <w:ind w:firstLine="540"/>
        <w:jc w:val="both"/>
      </w:pPr>
      <w:r>
        <w:rPr>
          <w:sz w:val="27"/>
        </w:rPr>
        <w:t>6.交付验收标准依次序对照适用标准：</w:t>
      </w:r>
    </w:p>
    <w:p>
      <w:pPr>
        <w:pStyle w:val="null3"/>
        <w:ind w:firstLine="540"/>
        <w:jc w:val="both"/>
      </w:pPr>
      <w:r>
        <w:rPr>
          <w:sz w:val="27"/>
        </w:rPr>
        <w:t>①符合中华人民共和国和履约地相关安全/质量标准、技术标准、行业标准、环保标准；</w:t>
      </w:r>
    </w:p>
    <w:p>
      <w:pPr>
        <w:pStyle w:val="null3"/>
        <w:ind w:firstLine="540"/>
        <w:jc w:val="both"/>
      </w:pPr>
      <w:r>
        <w:rPr>
          <w:sz w:val="27"/>
        </w:rPr>
        <w:t>②符合</w:t>
      </w:r>
      <w:r>
        <w:rPr>
          <w:sz w:val="27"/>
        </w:rPr>
        <w:t>招标</w:t>
      </w:r>
      <w:r>
        <w:rPr>
          <w:sz w:val="27"/>
        </w:rPr>
        <w:t>文件和投标文件中</w:t>
      </w:r>
      <w:r>
        <w:rPr>
          <w:sz w:val="27"/>
        </w:rPr>
        <w:t>甲方</w:t>
      </w:r>
      <w:r>
        <w:rPr>
          <w:sz w:val="27"/>
        </w:rPr>
        <w:t>认可的合理最佳配置、技术标准及项目时间进度要求、各项商务要求；</w:t>
      </w:r>
    </w:p>
    <w:p>
      <w:pPr>
        <w:pStyle w:val="null3"/>
        <w:ind w:firstLine="540"/>
        <w:jc w:val="both"/>
      </w:pPr>
      <w:r>
        <w:rPr>
          <w:sz w:val="27"/>
        </w:rPr>
        <w:t>③货物来源</w:t>
      </w:r>
      <w:r>
        <w:rPr>
          <w:sz w:val="27"/>
        </w:rPr>
        <w:t>我</w:t>
      </w:r>
      <w:r>
        <w:rPr>
          <w:sz w:val="27"/>
        </w:rPr>
        <w:t>国官方标准</w:t>
      </w:r>
      <w:r>
        <w:rPr>
          <w:sz w:val="27"/>
        </w:rPr>
        <w:t>。</w:t>
      </w:r>
    </w:p>
    <w:p>
      <w:pPr>
        <w:pStyle w:val="null3"/>
        <w:spacing w:before="165"/>
        <w:jc w:val="both"/>
      </w:pPr>
      <w:r>
        <w:rPr>
          <w:sz w:val="27"/>
          <w:b/>
        </w:rPr>
        <w:t>十一、保密条款</w:t>
      </w:r>
    </w:p>
    <w:p>
      <w:pPr>
        <w:pStyle w:val="null3"/>
        <w:ind w:firstLine="540"/>
        <w:jc w:val="both"/>
      </w:pPr>
      <w:r>
        <w:rPr>
          <w:sz w:val="27"/>
        </w:rPr>
        <w:t>1.保密信息包括但不限于双方洽谈情况、签署的任何文件、工作进度、技术方案、数据库、图纸、电子邮件等。</w:t>
      </w:r>
    </w:p>
    <w:p>
      <w:pPr>
        <w:pStyle w:val="null3"/>
        <w:ind w:firstLine="540"/>
        <w:jc w:val="both"/>
      </w:pPr>
      <w:r>
        <w:rPr>
          <w:sz w:val="27"/>
        </w:rPr>
        <w:t>2.乙方保证从甲方获取的保密信息仅用于合作有关的用途和目的。</w:t>
      </w:r>
    </w:p>
    <w:p>
      <w:pPr>
        <w:pStyle w:val="null3"/>
        <w:ind w:firstLine="540"/>
        <w:jc w:val="both"/>
      </w:pPr>
      <w:r>
        <w:rPr>
          <w:sz w:val="27"/>
        </w:rPr>
        <w:t>3.甲乙双方保证由对方提供的保密信息予以妥善保存，采取适用于对自己的保密信息同样的保护措施和审慎程度进行保密。</w:t>
      </w:r>
    </w:p>
    <w:p>
      <w:pPr>
        <w:pStyle w:val="null3"/>
        <w:ind w:firstLine="540"/>
        <w:jc w:val="both"/>
      </w:pPr>
      <w:r>
        <w:rPr>
          <w:sz w:val="27"/>
        </w:rPr>
        <w:t>4.乙方不得刺探与本项目无关的甲方保密信息。</w:t>
      </w:r>
    </w:p>
    <w:p>
      <w:pPr>
        <w:pStyle w:val="null3"/>
        <w:ind w:firstLine="540"/>
        <w:jc w:val="both"/>
      </w:pPr>
      <w:r>
        <w:rPr>
          <w:sz w:val="27"/>
        </w:rPr>
        <w:t>5.不得向任何未经甲方授权的第三方提供甲方的保密信息。</w:t>
      </w:r>
    </w:p>
    <w:p>
      <w:pPr>
        <w:pStyle w:val="null3"/>
        <w:ind w:firstLine="540"/>
        <w:jc w:val="both"/>
      </w:pPr>
      <w:r>
        <w:rPr>
          <w:sz w:val="27"/>
        </w:rPr>
        <w:t>6.不得允许（出借、赠予、出租、转让等处理甲方保密信息的行为皆属于“允许”）或协助未经甲方授权的第三方使用甲方的保密信息。</w:t>
      </w:r>
    </w:p>
    <w:p>
      <w:pPr>
        <w:pStyle w:val="null3"/>
        <w:ind w:firstLine="540"/>
        <w:jc w:val="both"/>
      </w:pPr>
      <w:r>
        <w:rPr>
          <w:sz w:val="27"/>
        </w:rPr>
        <w:t>7.乙方工作人员知悉该保密信息前，应向其提示保密信息的保密性和应承担的义务，并保证工作人员以书面形式同意接受本条款的约束，确保乙方工作人员承担保密责任。</w:t>
      </w:r>
    </w:p>
    <w:p>
      <w:pPr>
        <w:pStyle w:val="null3"/>
        <w:ind w:firstLine="540"/>
        <w:jc w:val="both"/>
      </w:pPr>
      <w:r>
        <w:rPr>
          <w:sz w:val="27"/>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540"/>
        <w:jc w:val="both"/>
      </w:pPr>
      <w:r>
        <w:rPr>
          <w:sz w:val="27"/>
        </w:rPr>
        <w:t>9.如果乙方被要求向政府部门、法院或其他有权部门提供保密信息，乙方在可能的情况下，应立即向甲方予以通报，以便甲方能采取相应有效保护措施来保护该保密信息。</w:t>
      </w:r>
    </w:p>
    <w:p>
      <w:pPr>
        <w:pStyle w:val="null3"/>
        <w:ind w:firstLine="540"/>
        <w:jc w:val="both"/>
      </w:pPr>
      <w:r>
        <w:rPr>
          <w:sz w:val="27"/>
        </w:rPr>
        <w:t>10.保密期限不受合同有效期限的约束。</w:t>
      </w:r>
    </w:p>
    <w:p>
      <w:pPr>
        <w:pStyle w:val="null3"/>
        <w:spacing w:before="165"/>
        <w:jc w:val="both"/>
      </w:pPr>
      <w:r>
        <w:rPr>
          <w:sz w:val="27"/>
          <w:b/>
        </w:rPr>
        <w:t>十二、索赔</w:t>
      </w:r>
    </w:p>
    <w:p>
      <w:pPr>
        <w:pStyle w:val="null3"/>
        <w:ind w:firstLine="540"/>
        <w:jc w:val="both"/>
      </w:pPr>
      <w:r>
        <w:rPr>
          <w:sz w:val="27"/>
        </w:rPr>
        <w:t>1.如对产品质量有异议，甲方有权根据有关政府部门的检验结果向乙方提出索赔。</w:t>
      </w:r>
    </w:p>
    <w:p>
      <w:pPr>
        <w:pStyle w:val="null3"/>
        <w:ind w:firstLine="540"/>
        <w:jc w:val="both"/>
      </w:pPr>
      <w:r>
        <w:rPr>
          <w:sz w:val="27"/>
        </w:rPr>
        <w:t>2.在合同执行期间，如果乙方对甲方提出的索赔负有责任，乙方应按照甲方同意的下列一种或多种方式解决索赔事宜：</w:t>
      </w:r>
    </w:p>
    <w:p>
      <w:pPr>
        <w:pStyle w:val="null3"/>
        <w:ind w:firstLine="540"/>
        <w:jc w:val="both"/>
      </w:pPr>
      <w:r>
        <w:rPr>
          <w:sz w:val="27"/>
        </w:rPr>
        <w:t>（</w:t>
      </w:r>
      <w:r>
        <w:rPr>
          <w:sz w:val="27"/>
        </w:rPr>
        <w:t>1）乙方同意退货，并按合同规定的同种货币将货款全额退还给甲方，并承担由此发生的一切损失和费用。</w:t>
      </w:r>
    </w:p>
    <w:p>
      <w:pPr>
        <w:pStyle w:val="null3"/>
        <w:ind w:firstLine="540"/>
        <w:jc w:val="both"/>
      </w:pPr>
      <w:r>
        <w:rPr>
          <w:sz w:val="27"/>
        </w:rPr>
        <w:t>（</w:t>
      </w:r>
      <w:r>
        <w:rPr>
          <w:sz w:val="27"/>
        </w:rPr>
        <w:t>2）使用符合规格、质量和性能要求的新零件、部件或货物来更换有缺陷的部分或修补有缺陷的部分，乙方应承担一切费用和风险并负担甲方所发生的一切直接费用。同时，相应延长合同设备质保期。</w:t>
      </w:r>
    </w:p>
    <w:p>
      <w:pPr>
        <w:pStyle w:val="null3"/>
        <w:ind w:firstLine="540"/>
        <w:jc w:val="both"/>
      </w:pPr>
      <w:r>
        <w:rPr>
          <w:sz w:val="27"/>
        </w:rPr>
        <w:t>3.如果在甲方发出索赔通知日起5个日历日后，乙方仍然未做出书面答复，上述索赔应视为乙方已接受，甲方将从合同款项中扣回索赔金额和追索补偿金额，扣回索赔金额和追索补偿金额不足弥补损失部分，甲方可向乙方进一步索赔。</w:t>
      </w:r>
    </w:p>
    <w:p>
      <w:pPr>
        <w:pStyle w:val="null3"/>
        <w:jc w:val="both"/>
      </w:pPr>
      <w:r>
        <w:rPr>
          <w:sz w:val="27"/>
          <w:b/>
        </w:rPr>
        <w:t>十三</w:t>
      </w:r>
      <w:r>
        <w:rPr>
          <w:sz w:val="27"/>
          <w:b/>
        </w:rPr>
        <w:t>、违约责任与赔偿损失</w:t>
      </w:r>
    </w:p>
    <w:p>
      <w:pPr>
        <w:pStyle w:val="null3"/>
        <w:ind w:firstLine="540"/>
        <w:jc w:val="both"/>
      </w:pPr>
      <w:r>
        <w:rPr>
          <w:sz w:val="27"/>
        </w:rPr>
        <w:t>1.乙方交付的货物、工程/提供的服务不符合本合同规定的，甲方有权拒收，并且乙方须向甲方支付本合同总价5%的违约金。</w:t>
      </w:r>
    </w:p>
    <w:p>
      <w:pPr>
        <w:pStyle w:val="null3"/>
        <w:ind w:firstLine="54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40"/>
        <w:jc w:val="both"/>
      </w:pPr>
      <w:r>
        <w:rPr>
          <w:sz w:val="27"/>
        </w:rPr>
        <w:t>3.甲方无正当理由拒收货物/接受服务，到期拒付货物/服务款项的，甲方向乙方偿付本合同</w:t>
      </w:r>
      <w:r>
        <w:rPr>
          <w:sz w:val="27"/>
        </w:rPr>
        <w:t>总额</w:t>
      </w:r>
      <w:r>
        <w:rPr>
          <w:sz w:val="27"/>
        </w:rPr>
        <w:t>的</w:t>
      </w:r>
      <w:r>
        <w:rPr>
          <w:sz w:val="27"/>
        </w:rPr>
        <w:t>5%的违约金。甲方</w:t>
      </w:r>
      <w:r>
        <w:rPr>
          <w:sz w:val="27"/>
        </w:rPr>
        <w:t>仍</w:t>
      </w:r>
      <w:r>
        <w:rPr>
          <w:sz w:val="27"/>
        </w:rPr>
        <w:t>逾期付款，则每日按本合同总价的</w:t>
      </w:r>
      <w:r>
        <w:rPr>
          <w:sz w:val="27"/>
        </w:rPr>
        <w:t>3‰向乙方偿付违约金。</w:t>
      </w:r>
    </w:p>
    <w:p>
      <w:pPr>
        <w:pStyle w:val="null3"/>
        <w:ind w:firstLine="540"/>
        <w:jc w:val="both"/>
      </w:pPr>
      <w:r>
        <w:rPr>
          <w:sz w:val="27"/>
        </w:rPr>
        <w:t>4.对于因甲方原因导致变更、中止或者终止政府采购合同的，甲方应当依照以下合同约定对</w:t>
      </w:r>
      <w:r>
        <w:rPr>
          <w:sz w:val="27"/>
        </w:rPr>
        <w:t>乙方</w:t>
      </w:r>
      <w:r>
        <w:rPr>
          <w:sz w:val="27"/>
        </w:rPr>
        <w:t>受到的损失予以赔偿或者补偿：</w:t>
      </w:r>
      <w:r>
        <w:rPr>
          <w:sz w:val="32"/>
          <w:u w:val="single"/>
        </w:rPr>
        <w:t xml:space="preserve">                                    </w:t>
      </w:r>
      <w:r>
        <w:rPr>
          <w:sz w:val="32"/>
          <w:u w:val="single"/>
        </w:rPr>
        <w:t xml:space="preserve"> </w:t>
      </w:r>
    </w:p>
    <w:p>
      <w:pPr>
        <w:pStyle w:val="null3"/>
        <w:ind w:firstLine="540"/>
        <w:jc w:val="both"/>
      </w:pPr>
      <w:r>
        <w:rPr>
          <w:sz w:val="27"/>
        </w:rPr>
        <w:t>5.</w:t>
      </w:r>
      <w:r>
        <w:rPr>
          <w:sz w:val="27"/>
        </w:rPr>
        <w:t>其他</w:t>
      </w:r>
      <w:r>
        <w:rPr>
          <w:sz w:val="27"/>
        </w:rPr>
        <w:t>违约责任按《中华人民共和国民法典</w:t>
      </w:r>
      <w:r>
        <w:rPr>
          <w:sz w:val="27"/>
        </w:rPr>
        <w:t>(合同编)》处理。</w:t>
      </w:r>
    </w:p>
    <w:p>
      <w:pPr>
        <w:pStyle w:val="null3"/>
        <w:jc w:val="both"/>
      </w:pPr>
      <w:r>
        <w:rPr>
          <w:sz w:val="27"/>
          <w:b/>
        </w:rPr>
        <w:t>十</w:t>
      </w:r>
      <w:r>
        <w:rPr>
          <w:sz w:val="27"/>
          <w:b/>
        </w:rPr>
        <w:t>四</w:t>
      </w:r>
      <w:r>
        <w:rPr>
          <w:sz w:val="27"/>
          <w:b/>
        </w:rPr>
        <w:t>、争议的解决</w:t>
      </w:r>
    </w:p>
    <w:p>
      <w:pPr>
        <w:pStyle w:val="null3"/>
        <w:ind w:firstLine="540"/>
        <w:jc w:val="both"/>
      </w:pPr>
      <w:r>
        <w:rPr>
          <w:sz w:val="27"/>
        </w:rPr>
        <w:t>合同执行过程中发生的任何争议，如双方不能通过友好协商解决，按相关法律法规处理。</w:t>
      </w:r>
    </w:p>
    <w:p>
      <w:pPr>
        <w:pStyle w:val="null3"/>
        <w:jc w:val="both"/>
      </w:pPr>
      <w:r>
        <w:rPr>
          <w:sz w:val="27"/>
          <w:b/>
        </w:rPr>
        <w:t>十</w:t>
      </w:r>
      <w:r>
        <w:rPr>
          <w:sz w:val="27"/>
          <w:b/>
        </w:rPr>
        <w:t>五</w:t>
      </w:r>
      <w:r>
        <w:rPr>
          <w:sz w:val="27"/>
          <w:b/>
        </w:rPr>
        <w:t>、不可抗力</w:t>
      </w:r>
    </w:p>
    <w:p>
      <w:pPr>
        <w:pStyle w:val="null3"/>
        <w:ind w:firstLine="540"/>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rPr>
        <w:t>十</w:t>
      </w:r>
      <w:r>
        <w:rPr>
          <w:sz w:val="27"/>
          <w:b/>
        </w:rPr>
        <w:t>六</w:t>
      </w:r>
      <w:r>
        <w:rPr>
          <w:sz w:val="27"/>
          <w:b/>
        </w:rPr>
        <w:t>、税费</w:t>
      </w:r>
    </w:p>
    <w:p>
      <w:pPr>
        <w:pStyle w:val="null3"/>
        <w:ind w:firstLine="540"/>
        <w:jc w:val="both"/>
      </w:pPr>
      <w:r>
        <w:rPr>
          <w:sz w:val="27"/>
        </w:rPr>
        <w:t>1.在中国境内、外发生的与本合同执行有关的一切税费均由乙方负担。</w:t>
      </w:r>
    </w:p>
    <w:p>
      <w:pPr>
        <w:pStyle w:val="null3"/>
        <w:jc w:val="both"/>
      </w:pPr>
      <w:r>
        <w:rPr>
          <w:sz w:val="27"/>
          <w:b/>
        </w:rPr>
        <w:t>十</w:t>
      </w:r>
      <w:r>
        <w:rPr>
          <w:sz w:val="27"/>
          <w:b/>
        </w:rPr>
        <w:t>七</w:t>
      </w:r>
      <w:r>
        <w:rPr>
          <w:sz w:val="27"/>
          <w:b/>
        </w:rPr>
        <w:t>、</w:t>
      </w:r>
      <w:r>
        <w:rPr>
          <w:sz w:val="27"/>
          <w:b/>
        </w:rPr>
        <w:t>其他</w:t>
      </w:r>
    </w:p>
    <w:p>
      <w:pPr>
        <w:pStyle w:val="null3"/>
        <w:ind w:firstLine="540"/>
        <w:jc w:val="both"/>
      </w:pPr>
      <w:r>
        <w:rPr>
          <w:sz w:val="27"/>
        </w:rPr>
        <w:t>1.本合同所有附件、招标文件、投标文件、中标</w:t>
      </w:r>
      <w:r>
        <w:rPr>
          <w:sz w:val="27"/>
        </w:rPr>
        <w:t>（</w:t>
      </w:r>
      <w:r>
        <w:rPr>
          <w:sz w:val="27"/>
        </w:rPr>
        <w:t>成交</w:t>
      </w:r>
      <w:r>
        <w:rPr>
          <w:sz w:val="27"/>
        </w:rPr>
        <w:t>）</w:t>
      </w:r>
      <w:r>
        <w:rPr>
          <w:sz w:val="27"/>
        </w:rPr>
        <w:t>通知书均为合同的有效组成部分，与本合同具有同等法律效力。</w:t>
      </w:r>
    </w:p>
    <w:p>
      <w:pPr>
        <w:pStyle w:val="null3"/>
        <w:ind w:firstLine="540"/>
        <w:jc w:val="both"/>
      </w:pPr>
      <w:r>
        <w:rPr>
          <w:sz w:val="27"/>
        </w:rPr>
        <w:t>2.在执行本合同的过程中，所有经双方签署确认的文件（包括会议纪要、补充协议、往来信函）即成为本合同的有效组成部分。</w:t>
      </w:r>
    </w:p>
    <w:p>
      <w:pPr>
        <w:pStyle w:val="null3"/>
        <w:ind w:firstLine="540"/>
        <w:jc w:val="both"/>
      </w:pPr>
      <w:r>
        <w:rPr>
          <w:sz w:val="27"/>
        </w:rPr>
        <w:t>3.如一方地址、电话、传真号码有变更，应在变更当日内书面通知对方，否则，应承担相应责任。</w:t>
      </w:r>
    </w:p>
    <w:p>
      <w:pPr>
        <w:pStyle w:val="null3"/>
        <w:ind w:firstLine="540"/>
        <w:jc w:val="both"/>
      </w:pPr>
      <w:r>
        <w:rPr>
          <w:sz w:val="27"/>
        </w:rPr>
        <w:t>4.除甲方事先书面同意外，乙方不得部分或全部转让其应履行的合同项下的义务。</w:t>
      </w:r>
    </w:p>
    <w:p>
      <w:pPr>
        <w:pStyle w:val="null3"/>
        <w:jc w:val="both"/>
      </w:pPr>
      <w:r>
        <w:rPr>
          <w:sz w:val="27"/>
          <w:b/>
        </w:rPr>
        <w:t>十</w:t>
      </w:r>
      <w:r>
        <w:rPr>
          <w:sz w:val="27"/>
          <w:b/>
        </w:rPr>
        <w:t>八</w:t>
      </w:r>
      <w:r>
        <w:rPr>
          <w:sz w:val="27"/>
          <w:b/>
        </w:rPr>
        <w:t>、合同生效</w:t>
      </w:r>
    </w:p>
    <w:p>
      <w:pPr>
        <w:pStyle w:val="null3"/>
        <w:ind w:firstLine="540"/>
        <w:jc w:val="both"/>
      </w:pPr>
      <w:r>
        <w:rPr>
          <w:sz w:val="27"/>
        </w:rPr>
        <w:t>1.本合同在甲乙双方法人代表或其授权代表签字盖章后生效。</w:t>
      </w:r>
    </w:p>
    <w:p>
      <w:pPr>
        <w:pStyle w:val="null3"/>
        <w:ind w:firstLine="540"/>
        <w:jc w:val="both"/>
      </w:pPr>
      <w:r>
        <w:rPr>
          <w:sz w:val="27"/>
        </w:rPr>
        <w:t>2.合同一式</w:t>
      </w:r>
      <w:r>
        <w:rPr>
          <w:sz w:val="32"/>
          <w:u w:val="single"/>
        </w:rPr>
        <w:t xml:space="preserve">   </w:t>
      </w:r>
      <w:r>
        <w:rPr>
          <w:sz w:val="27"/>
        </w:rPr>
        <w:t>份。具有同等法律效力，甲方执</w:t>
      </w:r>
      <w:r>
        <w:rPr>
          <w:sz w:val="32"/>
          <w:u w:val="single"/>
        </w:rPr>
        <w:t xml:space="preserve">   </w:t>
      </w:r>
      <w:r>
        <w:rPr>
          <w:sz w:val="27"/>
        </w:rPr>
        <w:t>份，乙方执</w:t>
      </w:r>
      <w:r>
        <w:rPr>
          <w:sz w:val="32"/>
          <w:u w:val="single"/>
        </w:rPr>
        <w:t xml:space="preserve">   </w:t>
      </w:r>
      <w:r>
        <w:rPr>
          <w:sz w:val="27"/>
        </w:rPr>
        <w:t>份</w:t>
      </w:r>
      <w:r>
        <w:rPr>
          <w:sz w:val="27"/>
        </w:rPr>
        <w:t>。</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441521-2025-02686</w:t>
      </w:r>
    </w:p>
    <w:p>
      <w:pPr>
        <w:pStyle w:val="null3"/>
        <w:jc w:val="center"/>
        <w:outlineLvl w:val="3"/>
      </w:pPr>
      <w:r>
        <w:rPr>
          <w:sz w:val="24"/>
          <w:b/>
        </w:rPr>
        <w:t>采购项目编号：</w:t>
      </w:r>
      <w:r>
        <w:rPr>
          <w:sz w:val="24"/>
          <w:b/>
        </w:rPr>
        <w:t>PCZX2025ZC066-4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深圳市河图建设项目管理有限公司</w:t>
      </w:r>
    </w:p>
    <w:p>
      <w:pPr>
        <w:pStyle w:val="null3"/>
        <w:ind w:firstLine="480"/>
      </w:pPr>
      <w:r>
        <w:rPr/>
        <w:t xml:space="preserve"> 你方组织的</w:t>
      </w:r>
      <w:r>
        <w:rPr>
          <w:u w:val="single"/>
        </w:rPr>
        <w:t>“</w:t>
      </w:r>
      <w:r>
        <w:rPr>
          <w:u w:val="single"/>
        </w:rPr>
        <w:t>海丰县妇幼保健院新院升级扩建工程配套设施项目-医疗设备(第四批)</w:t>
      </w:r>
      <w:r>
        <w:rPr>
          <w:u w:val="single"/>
        </w:rPr>
        <w:t>”</w:t>
      </w:r>
      <w:r>
        <w:rPr/>
        <w:t>项目的招标[采购项目编号为：</w:t>
      </w:r>
      <w:r>
        <w:rPr>
          <w:u w:val="single"/>
        </w:rPr>
        <w:t>PCZX2025ZC066-4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海丰县妇幼保健院新院升级扩建工程配套设施项目-医疗设备(第四批)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深圳市河图建设项目管理有限公司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海丰县妇幼保健院新院升级扩建工程配套设施项目-医疗设备(第四批)</w:t>
      </w:r>
      <w:r>
        <w:rPr/>
        <w:t>”项目采购[采购项目编号为</w:t>
      </w:r>
      <w:r>
        <w:rPr/>
        <w:t>PCZX2025ZC066-4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深圳市河图建设项目管理有限公司</w:t>
      </w:r>
    </w:p>
    <w:p>
      <w:pPr>
        <w:pStyle w:val="null3"/>
        <w:ind w:firstLine="480"/>
      </w:pPr>
      <w:r>
        <w:rPr/>
        <w:t xml:space="preserve"> 如果我方在贵采购代理机构组织的</w:t>
      </w:r>
      <w:r>
        <w:rPr/>
        <w:t>海丰县妇幼保健院新院升级扩建工程配套设施项目-医疗设备(第四批)</w:t>
      </w:r>
      <w:r>
        <w:rPr/>
        <w:t>招标中获中标（采购项目编号：</w:t>
      </w:r>
      <w:r>
        <w:rPr/>
        <w:t>PCZX2025ZC066-4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深圳市河图建设项目管理有限公司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深圳市河图建设项目管理有限公司</w:t>
      </w:r>
    </w:p>
    <w:p>
      <w:pPr>
        <w:pStyle w:val="null3"/>
        <w:ind w:firstLine="480"/>
      </w:pPr>
      <w:r>
        <w:rPr/>
        <w:t>我单位已登记并准备参与“</w:t>
      </w:r>
      <w:r>
        <w:rPr/>
        <w:t>海丰县妇幼保健院新院升级扩建工程配套设施项目-医疗设备(第四批)</w:t>
      </w:r>
      <w:r>
        <w:rPr/>
        <w:t>”项目（采购项目编号：</w:t>
      </w:r>
      <w:r>
        <w:rPr/>
        <w:t>PCZX2025ZC066-4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